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DCC1E">
      <w:pPr>
        <w:spacing w:before="200" w:after="80"/>
        <w:jc w:val="center"/>
      </w:pPr>
      <w:r>
        <w:rPr>
          <w:rFonts w:ascii="Arial" w:hAnsi="Arial" w:eastAsia="Arial" w:cs="Arial"/>
          <w:b/>
          <w:bCs/>
          <w:sz w:val="40"/>
          <w:szCs w:val="40"/>
        </w:rPr>
        <w:t>AI 辅助编程规范与实战示例</w:t>
      </w:r>
    </w:p>
    <w:p w14:paraId="255BC274">
      <w:pPr>
        <w:spacing w:after="40"/>
        <w:jc w:val="center"/>
      </w:pPr>
      <w:r>
        <w:rPr>
          <w:rFonts w:ascii="Arial" w:hAnsi="Arial" w:eastAsia="Arial" w:cs="Arial"/>
          <w:color w:val="555555"/>
          <w:sz w:val="26"/>
          <w:szCs w:val="26"/>
        </w:rPr>
        <w:t>——以「货物类型模块」为例</w:t>
      </w:r>
    </w:p>
    <w:p w14:paraId="07CF4D2C">
      <w:pPr>
        <w:spacing w:after="240"/>
        <w:jc w:val="center"/>
      </w:pPr>
      <w:r>
        <w:rPr>
          <w:rFonts w:ascii="Arial" w:hAnsi="Arial" w:eastAsia="Arial" w:cs="Arial"/>
          <w:i/>
          <w:iCs/>
          <w:color w:val="888888"/>
          <w:sz w:val="20"/>
          <w:szCs w:val="20"/>
        </w:rPr>
        <w:t>技术协作说明文档</w:t>
      </w:r>
    </w:p>
    <w:p w14:paraId="4D03AAB8">
      <w:pPr>
        <w:spacing w:after="120" w:line="288" w:lineRule="auto"/>
        <w:jc w:val="righ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文档目的：</w:t>
      </w:r>
      <w:r>
        <w:rPr>
          <w:rFonts w:hint="eastAsia" w:ascii="Arial" w:hAnsi="Arial" w:eastAsia="Arial" w:cs="Arial"/>
          <w:b w:val="0"/>
          <w:bCs w:val="0"/>
          <w:i w:val="0"/>
          <w:iCs w:val="0"/>
          <w:sz w:val="22"/>
          <w:szCs w:val="22"/>
        </w:rPr>
        <w:t>向业主</w:t>
      </w: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说明我们团队如何用 AI 协作完成</w:t>
      </w:r>
      <w:r>
        <w:rPr>
          <w:rFonts w:hint="eastAsia" w:eastAsia="宋体" w:cs="Arial"/>
          <w:b w:val="0"/>
          <w:bCs w:val="0"/>
          <w:i w:val="0"/>
          <w:iCs w:val="0"/>
          <w:sz w:val="22"/>
          <w:szCs w:val="22"/>
          <w:lang w:val="en-US" w:eastAsia="zh-CN"/>
        </w:rPr>
        <w:t>工程</w:t>
      </w: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开发，包含协作流程、工程规范、以及一个可直接对照代码的真实模块示例，便于业主了解我们的工作方式、质量保障手段与可复用的经验。</w:t>
      </w:r>
    </w:p>
    <w:p w14:paraId="385BD55D">
      <w:pPr>
        <w:pStyle w:val="2"/>
        <w:spacing w:before="280" w:after="120"/>
      </w:pPr>
      <w:r>
        <w:rPr>
          <w:rFonts w:ascii="Arial" w:hAnsi="Arial" w:eastAsia="Arial" w:cs="Arial"/>
          <w:b/>
          <w:bCs/>
        </w:rPr>
        <w:t>一、背景：我们为什么用 AI 编程</w:t>
      </w:r>
    </w:p>
    <w:p w14:paraId="6F03731F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本项目（Saber3 企业级后台）是一个模块多、表单多、校验规则多、样式规范严苛的大型 Vue 3 工程。传统人工开发存在两个痛点：</w:t>
      </w:r>
    </w:p>
    <w:p w14:paraId="0733A730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重复劳动多：每个 CRUD 模块的列表、搜索、新增、编辑、导入、导出结构高度相似，但样式细节（表格线色、偶数行底色、操作列宽度、弹窗竖条等）又极易被写错。</w:t>
      </w:r>
    </w:p>
    <w:p w14:paraId="5B3520D9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规范易漂移：数十个模块由不同人开发，若没有</w:t>
      </w:r>
      <w:bookmarkStart w:id="0" w:name="_GoBack"/>
      <w:bookmarkEnd w:id="0"/>
      <w:r>
        <w:rPr>
          <w:rFonts w:ascii="Arial" w:hAnsi="Arial" w:eastAsia="Arial" w:cs="Arial"/>
          <w:sz w:val="22"/>
          <w:szCs w:val="22"/>
        </w:rPr>
        <w:t>统一约束，代码风格、校验口径、审计字段展示会逐渐不一致。</w:t>
      </w:r>
    </w:p>
    <w:p w14:paraId="6804E153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我们引入 AI 编程的核心思路不是"让 AI 自由发挥"，而是把人类沉淀的工程规范喂给 AI，让 AI 在规范的边界内批量、稳定地产出代码，再由人工做业务与视觉复核。这样既提效，又保住质量底线。</w:t>
      </w:r>
    </w:p>
    <w:p w14:paraId="0297A0CA">
      <w:pPr>
        <w:pStyle w:val="2"/>
        <w:spacing w:before="280" w:after="120"/>
      </w:pPr>
      <w:r>
        <w:rPr>
          <w:rFonts w:ascii="Arial" w:hAnsi="Arial" w:eastAsia="Arial" w:cs="Arial"/>
          <w:b/>
          <w:bCs/>
        </w:rPr>
        <w:t>二、我们的 AI 协作流程（总览）</w:t>
      </w:r>
    </w:p>
    <w:p w14:paraId="541995D7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四个关键阶段：</w:t>
      </w:r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0"/>
        <w:gridCol w:w="2800"/>
        <w:gridCol w:w="1400"/>
        <w:gridCol w:w="3560"/>
      </w:tblGrid>
      <w:tr w14:paraId="70AF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C34A8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阶段</w:t>
            </w:r>
          </w:p>
        </w:tc>
        <w:tc>
          <w:tcPr>
            <w:tcW w:w="2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2DC6A8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产物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FC861E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负责人</w:t>
            </w:r>
          </w:p>
        </w:tc>
        <w:tc>
          <w:tcPr>
            <w:tcW w:w="356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CA707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067F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EA98A5">
            <w:r>
              <w:rPr>
                <w:rFonts w:ascii="Arial" w:hAnsi="Arial" w:eastAsia="Arial" w:cs="Arial"/>
                <w:sz w:val="20"/>
                <w:szCs w:val="20"/>
              </w:rPr>
              <w:t>1. 需求澄清</w:t>
            </w:r>
          </w:p>
        </w:tc>
        <w:tc>
          <w:tcPr>
            <w:tcW w:w="2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2360F1">
            <w:r>
              <w:rPr>
                <w:rFonts w:ascii="Arial" w:hAnsi="Arial" w:eastAsia="Arial" w:cs="Arial"/>
                <w:sz w:val="20"/>
                <w:szCs w:val="20"/>
              </w:rPr>
              <w:t>模块需求卡（.md）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4E8CF6">
            <w:r>
              <w:rPr>
                <w:rFonts w:ascii="Arial" w:hAnsi="Arial" w:eastAsia="Arial" w:cs="Arial"/>
                <w:sz w:val="20"/>
                <w:szCs w:val="20"/>
              </w:rPr>
              <w:t>产品/前端</w:t>
            </w:r>
          </w:p>
        </w:tc>
        <w:tc>
          <w:tcPr>
            <w:tcW w:w="356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D03E9B">
            <w:r>
              <w:rPr>
                <w:rFonts w:ascii="Arial" w:hAnsi="Arial" w:eastAsia="Arial" w:cs="Arial"/>
                <w:sz w:val="20"/>
                <w:szCs w:val="20"/>
              </w:rPr>
              <w:t>用《模块需求卡生成规范》统一格式，拆成 REQ 编号项</w:t>
            </w:r>
          </w:p>
        </w:tc>
      </w:tr>
      <w:tr w14:paraId="282E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8D003E">
            <w:r>
              <w:rPr>
                <w:rFonts w:ascii="Arial" w:hAnsi="Arial" w:eastAsia="Arial" w:cs="Arial"/>
                <w:sz w:val="20"/>
                <w:szCs w:val="20"/>
              </w:rPr>
              <w:t>2. 规范约束</w:t>
            </w:r>
          </w:p>
        </w:tc>
        <w:tc>
          <w:tcPr>
            <w:tcW w:w="2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11D5B5">
            <w:r>
              <w:rPr>
                <w:rFonts w:ascii="Arial" w:hAnsi="Arial" w:eastAsia="Arial" w:cs="Arial"/>
                <w:sz w:val="20"/>
                <w:szCs w:val="20"/>
              </w:rPr>
              <w:t>AGENTS.md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F1329A">
            <w:r>
              <w:rPr>
                <w:rFonts w:ascii="Arial" w:hAnsi="Arial" w:eastAsia="Arial" w:cs="Arial"/>
                <w:sz w:val="20"/>
                <w:szCs w:val="20"/>
              </w:rPr>
              <w:t>架构/前端</w:t>
            </w:r>
          </w:p>
        </w:tc>
        <w:tc>
          <w:tcPr>
            <w:tcW w:w="356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EE685D5">
            <w:r>
              <w:rPr>
                <w:rFonts w:ascii="Arial" w:hAnsi="Arial" w:eastAsia="Arial" w:cs="Arial"/>
                <w:sz w:val="20"/>
                <w:szCs w:val="20"/>
              </w:rPr>
              <w:t>把技术栈、风格、样式、校验、审计等写成"对 AI 的强制条款"</w:t>
            </w:r>
          </w:p>
        </w:tc>
      </w:tr>
      <w:tr w14:paraId="1CE6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498F90">
            <w:r>
              <w:rPr>
                <w:rFonts w:ascii="Arial" w:hAnsi="Arial" w:eastAsia="Arial" w:cs="Arial"/>
                <w:sz w:val="20"/>
                <w:szCs w:val="20"/>
              </w:rPr>
              <w:t>3. 代码生成</w:t>
            </w:r>
          </w:p>
        </w:tc>
        <w:tc>
          <w:tcPr>
            <w:tcW w:w="2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70DF88">
            <w:r>
              <w:rPr>
                <w:rFonts w:ascii="Arial" w:hAnsi="Arial" w:eastAsia="Arial" w:cs="Arial"/>
                <w:sz w:val="20"/>
                <w:szCs w:val="20"/>
              </w:rPr>
              <w:t>view / option / api / utils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674FF7">
            <w:r>
              <w:rPr>
                <w:rFonts w:ascii="Arial" w:hAnsi="Arial" w:eastAsia="Arial" w:cs="Arial"/>
                <w:sz w:val="20"/>
                <w:szCs w:val="20"/>
              </w:rPr>
              <w:t>AI + 前端</w:t>
            </w:r>
          </w:p>
        </w:tc>
        <w:tc>
          <w:tcPr>
            <w:tcW w:w="356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50532C">
            <w:r>
              <w:rPr>
                <w:rFonts w:ascii="Arial" w:hAnsi="Arial" w:eastAsia="Arial" w:cs="Arial"/>
                <w:sz w:val="20"/>
                <w:szCs w:val="20"/>
              </w:rPr>
              <w:t>AI 按 AGENTS.md 生成，前端实时纠偏</w:t>
            </w:r>
          </w:p>
        </w:tc>
      </w:tr>
      <w:tr w14:paraId="55D09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D466EB">
            <w:r>
              <w:rPr>
                <w:rFonts w:ascii="Arial" w:hAnsi="Arial" w:eastAsia="Arial" w:cs="Arial"/>
                <w:sz w:val="20"/>
                <w:szCs w:val="20"/>
              </w:rPr>
              <w:t>4. 复核验收</w:t>
            </w:r>
          </w:p>
        </w:tc>
        <w:tc>
          <w:tcPr>
            <w:tcW w:w="2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6E4430">
            <w:r>
              <w:rPr>
                <w:rFonts w:ascii="Arial" w:hAnsi="Arial" w:eastAsia="Arial" w:cs="Arial"/>
                <w:sz w:val="20"/>
                <w:szCs w:val="20"/>
              </w:rPr>
              <w:t>可运行模块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9879B8">
            <w:r>
              <w:rPr>
                <w:rFonts w:ascii="Arial" w:hAnsi="Arial" w:eastAsia="Arial" w:cs="Arial"/>
                <w:sz w:val="20"/>
                <w:szCs w:val="20"/>
              </w:rPr>
              <w:t>前端/测试</w:t>
            </w:r>
          </w:p>
        </w:tc>
        <w:tc>
          <w:tcPr>
            <w:tcW w:w="356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B9D24B">
            <w:r>
              <w:rPr>
                <w:rFonts w:ascii="Arial" w:hAnsi="Arial" w:eastAsia="Arial" w:cs="Arial"/>
                <w:sz w:val="20"/>
                <w:szCs w:val="20"/>
              </w:rPr>
              <w:t>校验业务规则、视觉规范、边界异常</w:t>
            </w:r>
          </w:p>
        </w:tc>
      </w:tr>
    </w:tbl>
    <w:p w14:paraId="50297B24">
      <w:pPr>
        <w:spacing w:after="120" w:line="288" w:lineRule="auto"/>
        <w:jc w:val="left"/>
      </w:pPr>
      <w:r>
        <w:rPr>
          <w:rFonts w:ascii="Arial" w:hAnsi="Arial" w:eastAsia="Arial" w:cs="Arial"/>
          <w:b/>
          <w:bCs/>
          <w:i w:val="0"/>
          <w:iCs w:val="0"/>
          <w:sz w:val="22"/>
          <w:szCs w:val="22"/>
        </w:rPr>
        <w:t>核心原则：需求卡和 AGENTS.md 是 AI 与人对齐的"单一事实来源"，不靠口头交代。</w:t>
      </w:r>
    </w:p>
    <w:p w14:paraId="4EBAE96A">
      <w:pPr>
        <w:pStyle w:val="2"/>
        <w:spacing w:before="280" w:after="120"/>
      </w:pPr>
      <w:r>
        <w:rPr>
          <w:rFonts w:ascii="Arial" w:hAnsi="Arial" w:eastAsia="Arial" w:cs="Arial"/>
          <w:b/>
          <w:bCs/>
        </w:rPr>
        <w:t>三、工程规范如何约束 AI（AGENTS.md 核心条款节选）</w:t>
      </w:r>
    </w:p>
    <w:p w14:paraId="234675B3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3.1 文件同构结构</w:t>
      </w:r>
    </w:p>
    <w:p w14:paraId="46BD9AA0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规范要点：Avue 配置独立存放于 src/option/，与 views 和 api 保持同构的模块路径映射。AI 生成时不会把配置写死在页面里。</w:t>
      </w:r>
    </w:p>
    <w:p w14:paraId="6DBB393A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3.2 样式规范（极易被写错，故用规范强制）</w:t>
      </w:r>
    </w:p>
    <w:p w14:paraId="368AC665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表格线条颜色统一 #EFF1F7；偶数行背景 #FAFAFA，固定列须与行背景一致；</w:t>
      </w:r>
    </w:p>
    <w:p w14:paraId="3595428B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操作列同时展示"查看/编辑/删除"时宽度不小于 220px；</w:t>
      </w:r>
    </w:p>
    <w:p w14:paraId="1FED4BE1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.avue-crud__header 顶部间距 12px；</w:t>
      </w:r>
    </w:p>
    <w:p w14:paraId="4B27F2CC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.basic-container__card 内层 el-card 去卡片化（padding: 0）；</w:t>
      </w:r>
    </w:p>
    <w:p w14:paraId="608C30B0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主色统一 #409eff。</w:t>
      </w:r>
    </w:p>
    <w:p w14:paraId="541C8C97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3.3 表单校验规范</w:t>
      </w:r>
    </w:p>
    <w:p w14:paraId="56F5C004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金额类非负、经纬度范围、备注类 ≤200 字（前端阻止提交并提示）；</w:t>
      </w:r>
    </w:p>
    <w:p w14:paraId="63F513FC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新增、导入、编辑三处的校验口径必须一致；</w:t>
      </w:r>
    </w:p>
    <w:p w14:paraId="32AFAD1F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审计字段（创建人/更新人）禁止直接展示用户 ID，须绑定后端返回的姓名字段（createUserName）。</w:t>
      </w:r>
    </w:p>
    <w:p w14:paraId="77852FA0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3.4 批量导入失败明细规范（本项目重点）</w:t>
      </w:r>
    </w:p>
    <w:p w14:paraId="20D1FC73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部分数据导入失败时，前端必须自动下载后端返回的失败 Excel；</w:t>
      </w:r>
    </w:p>
    <w:p w14:paraId="0E9585F2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失败 Excel 字段顺序须与原模板一致，最后追加"导入失败原因"列；</w:t>
      </w:r>
    </w:p>
    <w:p w14:paraId="5E4360EE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前端需根据 content-type 区分"JSON 成功响应"与"Excel 文件流"；</w:t>
      </w:r>
    </w:p>
    <w:p w14:paraId="61E5C39E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失败明细文件命名含业务名、导入失败明细、时间戳。</w:t>
      </w:r>
    </w:p>
    <w:p w14:paraId="059BC176">
      <w:pPr>
        <w:pStyle w:val="2"/>
        <w:spacing w:before="280" w:after="120"/>
      </w:pPr>
      <w:r>
        <w:rPr>
          <w:rFonts w:ascii="Arial" w:hAnsi="Arial" w:eastAsia="Arial" w:cs="Arial"/>
          <w:b/>
          <w:bCs/>
        </w:rPr>
        <w:t>四、实例拆解：货物类型模块</w:t>
      </w:r>
    </w:p>
    <w:p w14:paraId="08BC50CB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4.1 模块能力一览</w:t>
      </w:r>
    </w:p>
    <w:p w14:paraId="346B39D6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货物类型是一个两级层级的主数据模块：一级货物类型（2 位编码）+ 二级货物类型（4 位编码，前 2 位须与上级一致）。功能包括：列表、条件查询、新增、编辑、查看、删除、批量删除、批量导入 + 模板下载 + 失败明细加工、批量导出。</w:t>
      </w:r>
    </w:p>
    <w:p w14:paraId="3FD39042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4.2 文件同构结构（真实存在）</w:t>
      </w:r>
    </w:p>
    <w:p w14:paraId="5BAE64C3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4.3 AI 按规范落地的关键代码点</w:t>
      </w:r>
    </w:p>
    <w:p w14:paraId="2A784001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下面每一条都对应前述规范条款，可直接对照源码。</w:t>
      </w:r>
    </w:p>
    <w:p w14:paraId="3D595F19">
      <w:pPr>
        <w:spacing w:before="160" w:after="0"/>
      </w:pPr>
      <w:r>
        <w:rPr>
          <w:rFonts w:ascii="Arial" w:hAnsi="Arial" w:eastAsia="Arial" w:cs="Arial"/>
          <w:b/>
          <w:bCs/>
          <w:color w:val="555555"/>
          <w:sz w:val="20"/>
          <w:szCs w:val="20"/>
        </w:rPr>
        <w:t>① 三级文件分离（对应 3.1）</w:t>
      </w:r>
    </w:p>
    <w:p w14:paraId="49AE04A7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页面只负责交互，配置与接口独立：</w:t>
      </w:r>
    </w:p>
    <w:p w14:paraId="77E1B30B">
      <w:pPr>
        <w:spacing w:before="160" w:after="0"/>
      </w:pPr>
      <w:r>
        <w:rPr>
          <w:rFonts w:ascii="Arial" w:hAnsi="Arial" w:eastAsia="Arial" w:cs="Arial"/>
          <w:b/>
          <w:bCs/>
          <w:color w:val="555555"/>
          <w:sz w:val="20"/>
          <w:szCs w:val="20"/>
        </w:rPr>
        <w:t>② 表单校验三处一致（对应 3.3）</w:t>
      </w:r>
    </w:p>
    <w:p w14:paraId="5F29AFF1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前端表单（option）与 JS 内 validateRow 共用同一套规则口径，避免"表单能过、导入却崩"：</w:t>
      </w:r>
    </w:p>
    <w:p w14:paraId="45F171CA">
      <w:pPr>
        <w:spacing w:before="160" w:after="0"/>
      </w:pPr>
      <w:r>
        <w:rPr>
          <w:rFonts w:ascii="Arial" w:hAnsi="Arial" w:eastAsia="Arial" w:cs="Arial"/>
          <w:b/>
          <w:bCs/>
          <w:color w:val="555555"/>
          <w:sz w:val="20"/>
          <w:szCs w:val="20"/>
        </w:rPr>
        <w:t>③ 审计字段用姓名不用 ID（对应 3.3）</w:t>
      </w:r>
    </w:p>
    <w:p w14:paraId="5F84F8D4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列表直接绑定 createUserName，避免出现一串无意义的用户 ID。</w:t>
      </w:r>
    </w:p>
    <w:p w14:paraId="7DCCE0A8">
      <w:pPr>
        <w:spacing w:before="160" w:after="0"/>
      </w:pPr>
      <w:r>
        <w:rPr>
          <w:rFonts w:ascii="Arial" w:hAnsi="Arial" w:eastAsia="Arial" w:cs="Arial"/>
          <w:b/>
          <w:bCs/>
          <w:color w:val="555555"/>
          <w:sz w:val="20"/>
          <w:szCs w:val="20"/>
        </w:rPr>
        <w:t>④ 导入失败明细加工（对应 3.4，本项目 AI 协作的亮点）</w:t>
      </w:r>
    </w:p>
    <w:p w14:paraId="72CE2890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后端只返回原始失败原因文本，AI 被要求生成一个可独立测试的小函数 decorateCargoTypeFailDetail，把原因按 A./B./C. 编号、追加规则说明、仅"导入失败原因"列标红、自动加宽列：</w:t>
      </w:r>
    </w:p>
    <w:p w14:paraId="2D34B44C">
      <w:pPr>
        <w:spacing w:after="120" w:line="288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2"/>
          <w:szCs w:val="22"/>
        </w:rPr>
        <w:t>该函数通过通用导入工具 import-excel.js 的 failDetailDecorator 钩子注入，做到模块零耦合复用：</w:t>
      </w:r>
    </w:p>
    <w:p w14:paraId="23A13EE3">
      <w:pPr>
        <w:spacing w:before="160" w:after="0"/>
      </w:pPr>
      <w:r>
        <w:rPr>
          <w:rFonts w:ascii="Arial" w:hAnsi="Arial" w:eastAsia="Arial" w:cs="Arial"/>
          <w:b/>
          <w:bCs/>
          <w:color w:val="555555"/>
          <w:sz w:val="20"/>
          <w:szCs w:val="20"/>
        </w:rPr>
        <w:t>⑤ 样式规范落地（对应 3.2）</w:t>
      </w:r>
    </w:p>
    <w:p w14:paraId="69986305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4.4 人机协作中，AI 不擅长、需要人工兜底的部分</w:t>
      </w:r>
    </w:p>
    <w:p w14:paraId="005C731E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业务规则澄清：一级/二级层级关系、编码前缀约束这类"业务语义"，需要产品/前端先讲清，AI 才能写出正确校验。</w:t>
      </w:r>
    </w:p>
    <w:p w14:paraId="42211625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视觉细节微调：表格行高、表头高度、间距的最终眼检，依赖人工在浏览器里确认。</w:t>
      </w:r>
    </w:p>
    <w:p w14:paraId="40D3FE68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前后端字段契约：CargoTypeVO 是否返回 createUserName、失败 Excel 的表头文案，必须与后端对齐，AI 无法替你确认。</w:t>
      </w:r>
    </w:p>
    <w:p w14:paraId="241F479A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破坏性操作确认：删除/批量删除的二次确认文案与风险，由人工定稿。</w:t>
      </w:r>
    </w:p>
    <w:p w14:paraId="490414DB">
      <w:pPr>
        <w:pStyle w:val="2"/>
        <w:spacing w:before="280" w:after="120"/>
      </w:pPr>
      <w:r>
        <w:rPr>
          <w:rFonts w:ascii="Arial" w:hAnsi="Arial" w:eastAsia="Arial" w:cs="Arial"/>
          <w:b/>
          <w:bCs/>
        </w:rPr>
        <w:t>五、经验沉淀（可复用的 5 条）</w:t>
      </w:r>
    </w:p>
    <w:p w14:paraId="68C917A7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把规范写成 AGENTS.md，比口头交代可靠 10 倍。AI 每次都会读，规范不会因人离职而丢失。</w:t>
      </w:r>
    </w:p>
    <w:p w14:paraId="6F407A93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需求卡是 AI 与人对齐的单一事实来源。用统一格式（REQ 编号 + 功能点/异常边界/反例）避免"我以为你要的是……"。</w:t>
      </w:r>
    </w:p>
    <w:p w14:paraId="65796F1D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把重复能力抽成 utils。如 import-excel.js，新模块导入直接复用，AI 只需写"本模块特有的加工函数"。</w:t>
      </w:r>
    </w:p>
    <w:p w14:paraId="3E908DE0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校验三处一致：前端表单、前端导入、后端校验口径对齐，且一处改、三处同步改。</w:t>
      </w:r>
    </w:p>
    <w:p w14:paraId="7ADFD8BC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让 AI 生成"小而纯"的函数（如失败明细加工函数），比让它改一整个 600 行页面更可控、更易测、更易复核。</w:t>
      </w:r>
    </w:p>
    <w:p w14:paraId="7F389964">
      <w:pPr>
        <w:pStyle w:val="2"/>
        <w:spacing w:before="280" w:after="120"/>
      </w:pPr>
      <w:r>
        <w:rPr>
          <w:rFonts w:ascii="Arial" w:hAnsi="Arial" w:eastAsia="Arial" w:cs="Arial"/>
          <w:b/>
          <w:bCs/>
        </w:rPr>
        <w:t>六、给</w:t>
      </w:r>
      <w:r>
        <w:rPr>
          <w:rFonts w:hint="eastAsia" w:eastAsia="宋体" w:cs="Arial"/>
          <w:b/>
          <w:bCs/>
          <w:lang w:val="en-US" w:eastAsia="zh-CN"/>
        </w:rPr>
        <w:t>开发人员</w:t>
      </w:r>
      <w:r>
        <w:rPr>
          <w:rFonts w:ascii="Arial" w:hAnsi="Arial" w:eastAsia="Arial" w:cs="Arial"/>
          <w:b/>
          <w:bCs/>
        </w:rPr>
        <w:t>的价值与建议</w:t>
      </w:r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3080"/>
        <w:gridCol w:w="4080"/>
      </w:tblGrid>
      <w:tr w14:paraId="6131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59671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维度</w:t>
            </w:r>
          </w:p>
        </w:tc>
        <w:tc>
          <w:tcPr>
            <w:tcW w:w="3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832F5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传统方式</w:t>
            </w:r>
          </w:p>
        </w:tc>
        <w:tc>
          <w:tcPr>
            <w:tcW w:w="4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37827C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我们的 AI 协作方式</w:t>
            </w:r>
          </w:p>
        </w:tc>
      </w:tr>
      <w:tr w14:paraId="1A3A8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FEBF8F">
            <w:r>
              <w:rPr>
                <w:rFonts w:ascii="Arial" w:hAnsi="Arial" w:eastAsia="Arial" w:cs="Arial"/>
                <w:sz w:val="20"/>
                <w:szCs w:val="20"/>
              </w:rPr>
              <w:t>单模块开发周期</w:t>
            </w:r>
          </w:p>
        </w:tc>
        <w:tc>
          <w:tcPr>
            <w:tcW w:w="3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51BC1B">
            <w:r>
              <w:rPr>
                <w:rFonts w:ascii="Arial" w:hAnsi="Arial" w:eastAsia="Arial" w:cs="Arial"/>
                <w:sz w:val="20"/>
                <w:szCs w:val="20"/>
              </w:rPr>
              <w:t>长，易返工</w:t>
            </w:r>
          </w:p>
        </w:tc>
        <w:tc>
          <w:tcPr>
            <w:tcW w:w="4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B7883C">
            <w:r>
              <w:rPr>
                <w:rFonts w:ascii="Arial" w:hAnsi="Arial" w:eastAsia="Arial" w:cs="Arial"/>
                <w:sz w:val="20"/>
                <w:szCs w:val="20"/>
              </w:rPr>
              <w:t>短，规范内一次成型</w:t>
            </w:r>
          </w:p>
        </w:tc>
      </w:tr>
      <w:tr w14:paraId="2A9E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F6AD98">
            <w:r>
              <w:rPr>
                <w:rFonts w:ascii="Arial" w:hAnsi="Arial" w:eastAsia="Arial" w:cs="Arial"/>
                <w:sz w:val="20"/>
                <w:szCs w:val="20"/>
              </w:rPr>
              <w:t>多模块一致性</w:t>
            </w:r>
          </w:p>
        </w:tc>
        <w:tc>
          <w:tcPr>
            <w:tcW w:w="3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E97974">
            <w:r>
              <w:rPr>
                <w:rFonts w:ascii="Arial" w:hAnsi="Arial" w:eastAsia="Arial" w:cs="Arial"/>
                <w:sz w:val="20"/>
                <w:szCs w:val="20"/>
              </w:rPr>
              <w:t>易漂移</w:t>
            </w:r>
          </w:p>
        </w:tc>
        <w:tc>
          <w:tcPr>
            <w:tcW w:w="4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C8553A">
            <w:r>
              <w:rPr>
                <w:rFonts w:ascii="Arial" w:hAnsi="Arial" w:eastAsia="Arial" w:cs="Arial"/>
                <w:sz w:val="20"/>
                <w:szCs w:val="20"/>
              </w:rPr>
              <w:t>AGENTS.md 强制统一</w:t>
            </w:r>
          </w:p>
        </w:tc>
      </w:tr>
      <w:tr w14:paraId="4B2F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BFC992">
            <w:r>
              <w:rPr>
                <w:rFonts w:ascii="Arial" w:hAnsi="Arial" w:eastAsia="Arial" w:cs="Arial"/>
                <w:sz w:val="20"/>
                <w:szCs w:val="20"/>
              </w:rPr>
              <w:t>规范传承</w:t>
            </w:r>
          </w:p>
        </w:tc>
        <w:tc>
          <w:tcPr>
            <w:tcW w:w="3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A5FE32">
            <w:r>
              <w:rPr>
                <w:rFonts w:ascii="Arial" w:hAnsi="Arial" w:eastAsia="Arial" w:cs="Arial"/>
                <w:sz w:val="20"/>
                <w:szCs w:val="20"/>
              </w:rPr>
              <w:t>靠老人带</w:t>
            </w:r>
          </w:p>
        </w:tc>
        <w:tc>
          <w:tcPr>
            <w:tcW w:w="4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2D0DAA">
            <w:r>
              <w:rPr>
                <w:rFonts w:ascii="Arial" w:hAnsi="Arial" w:eastAsia="Arial" w:cs="Arial"/>
                <w:sz w:val="20"/>
                <w:szCs w:val="20"/>
              </w:rPr>
              <w:t>沉淀为文件，新人/AI 即取即用</w:t>
            </w:r>
          </w:p>
        </w:tc>
      </w:tr>
      <w:tr w14:paraId="5FFC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689818">
            <w:r>
              <w:rPr>
                <w:rFonts w:ascii="Arial" w:hAnsi="Arial" w:eastAsia="Arial" w:cs="Arial"/>
                <w:sz w:val="20"/>
                <w:szCs w:val="20"/>
              </w:rPr>
              <w:t>质量风险</w:t>
            </w:r>
          </w:p>
        </w:tc>
        <w:tc>
          <w:tcPr>
            <w:tcW w:w="3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0C92C1">
            <w:r>
              <w:rPr>
                <w:rFonts w:ascii="Arial" w:hAnsi="Arial" w:eastAsia="Arial" w:cs="Arial"/>
                <w:sz w:val="20"/>
                <w:szCs w:val="20"/>
              </w:rPr>
              <w:t>校验、审计字段易漏</w:t>
            </w:r>
          </w:p>
        </w:tc>
        <w:tc>
          <w:tcPr>
            <w:tcW w:w="408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EF3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553AB4">
            <w:r>
              <w:rPr>
                <w:rFonts w:ascii="Arial" w:hAnsi="Arial" w:eastAsia="Arial" w:cs="Arial"/>
                <w:sz w:val="20"/>
                <w:szCs w:val="20"/>
              </w:rPr>
              <w:t>规范条款逐项约束</w:t>
            </w:r>
          </w:p>
        </w:tc>
      </w:tr>
    </w:tbl>
    <w:p w14:paraId="4FFB9E5F">
      <w:pPr>
        <w:spacing w:after="120" w:line="288" w:lineRule="auto"/>
        <w:jc w:val="left"/>
      </w:pPr>
      <w:r>
        <w:rPr>
          <w:rFonts w:ascii="Arial" w:hAnsi="Arial" w:eastAsia="Arial" w:cs="Arial"/>
          <w:b/>
          <w:bCs/>
          <w:i w:val="0"/>
          <w:iCs w:val="0"/>
          <w:sz w:val="22"/>
          <w:szCs w:val="22"/>
        </w:rPr>
        <w:t>建议：</w:t>
      </w:r>
      <w:r>
        <w:rPr>
          <w:rFonts w:hint="eastAsia" w:eastAsia="宋体" w:cs="Arial"/>
          <w:b/>
          <w:bCs/>
          <w:i w:val="0"/>
          <w:iCs w:val="0"/>
          <w:sz w:val="22"/>
          <w:szCs w:val="22"/>
          <w:lang w:val="en-US" w:eastAsia="zh-CN"/>
        </w:rPr>
        <w:t>文档</w:t>
      </w:r>
      <w:r>
        <w:rPr>
          <w:rFonts w:ascii="Arial" w:hAnsi="Arial" w:eastAsia="Arial" w:cs="Arial"/>
          <w:b/>
          <w:bCs/>
          <w:i w:val="0"/>
          <w:iCs w:val="0"/>
          <w:sz w:val="22"/>
          <w:szCs w:val="22"/>
        </w:rPr>
        <w:t>更是</w:t>
      </w:r>
      <w:r>
        <w:rPr>
          <w:rFonts w:hint="eastAsia" w:eastAsia="宋体" w:cs="Arial"/>
          <w:b/>
          <w:bCs/>
          <w:i w:val="0"/>
          <w:iCs w:val="0"/>
          <w:sz w:val="22"/>
          <w:szCs w:val="22"/>
          <w:lang w:val="en-US" w:eastAsia="zh-CN"/>
        </w:rPr>
        <w:t>提现</w:t>
      </w:r>
      <w:r>
        <w:rPr>
          <w:rFonts w:ascii="Arial" w:hAnsi="Arial" w:eastAsia="Arial" w:cs="Arial"/>
          <w:b/>
          <w:bCs/>
          <w:i w:val="0"/>
          <w:iCs w:val="0"/>
          <w:sz w:val="22"/>
          <w:szCs w:val="22"/>
        </w:rPr>
        <w:t>"可持续维护的规范资产"。我们交付的每个模块背后都有需求卡 + AGENTS.md + 复用 utils 三件套，后续无论是换人维护还是扩展新模块，成本都显著更低。</w:t>
      </w:r>
    </w:p>
    <w:p w14:paraId="623CBFE0">
      <w:pPr>
        <w:pStyle w:val="3"/>
        <w:spacing w:before="180" w:after="120"/>
      </w:pPr>
      <w:r>
        <w:rPr>
          <w:rFonts w:ascii="Arial" w:hAnsi="Arial" w:eastAsia="Arial" w:cs="Arial"/>
          <w:b/>
          <w:bCs/>
        </w:rPr>
        <w:t>附：本示例涉及的全部源码路径</w:t>
      </w:r>
    </w:p>
    <w:p w14:paraId="252DAED2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src/views/base/cargo-type.vue</w:t>
      </w:r>
    </w:p>
    <w:p w14:paraId="0A4CDF48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src/option/base/cargo-type.js</w:t>
      </w:r>
    </w:p>
    <w:p w14:paraId="4BBECBC0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src/api/base/cargo-type.js</w:t>
      </w:r>
    </w:p>
    <w:p w14:paraId="4285732F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src/utils/import-excel.js</w:t>
      </w:r>
    </w:p>
    <w:p w14:paraId="695C19C2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AGENTS.md（工程规范总纲）</w:t>
      </w:r>
    </w:p>
    <w:p w14:paraId="38D75998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Arial" w:hAnsi="Arial" w:eastAsia="Arial" w:cs="Arial"/>
          <w:sz w:val="22"/>
          <w:szCs w:val="22"/>
        </w:rPr>
        <w:t>模块需求卡生成规范.md（需求卡格式规范）</w:t>
      </w:r>
    </w:p>
    <w:sectPr>
      <w:pgSz w:w="11906" w:h="16838"/>
      <w:pgMar w:top="1440" w:right="1300" w:bottom="1440" w:left="13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86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enlo-Regular">
    <w:panose1 w:val="020B0609030804020204"/>
    <w:charset w:val="00"/>
    <w:family w:val="auto"/>
    <w:pitch w:val="default"/>
    <w:sig w:usb0="E60022FF" w:usb1="D200F9FB" w:usb2="02000028" w:usb3="00000000" w:csb0="600001DF" w:csb1="FFD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7D1C9E"/>
    <w:multiLevelType w:val="singleLevel"/>
    <w:tmpl w:val="BD7D1C9E"/>
    <w:lvl w:ilvl="0" w:tentative="0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7F744D5"/>
    <w:rsid w:val="3B7F2E79"/>
    <w:rsid w:val="3BDF1E02"/>
    <w:rsid w:val="5AEB5C18"/>
    <w:rsid w:val="5DEAC44F"/>
    <w:rsid w:val="6BBFA8E9"/>
    <w:rsid w:val="6E57C207"/>
    <w:rsid w:val="6F7BD6B6"/>
    <w:rsid w:val="77BA2817"/>
    <w:rsid w:val="7FFF611E"/>
    <w:rsid w:val="AF7F83B0"/>
    <w:rsid w:val="BFB5C03F"/>
    <w:rsid w:val="DFB6D555"/>
    <w:rsid w:val="EBBF50C1"/>
    <w:rsid w:val="EBFF24C8"/>
    <w:rsid w:val="FECFF9F3"/>
    <w:rsid w:val="FFF793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pPr>
      <w:spacing w:before="280" w:after="120"/>
      <w:outlineLvl w:val="0"/>
    </w:pPr>
    <w:rPr>
      <w:rFonts w:ascii="Arial" w:hAnsi="Arial" w:eastAsia="Arial" w:cs="Arial"/>
      <w:b/>
      <w:bCs/>
      <w:color w:val="1F3864"/>
      <w:sz w:val="32"/>
      <w:szCs w:val="32"/>
    </w:rPr>
  </w:style>
  <w:style w:type="paragraph" w:styleId="3">
    <w:name w:val="heading 2"/>
    <w:next w:val="1"/>
    <w:qFormat/>
    <w:uiPriority w:val="0"/>
    <w:pPr>
      <w:spacing w:before="180" w:after="80"/>
      <w:outlineLvl w:val="1"/>
    </w:pPr>
    <w:rPr>
      <w:rFonts w:ascii="Arial" w:hAnsi="Arial" w:eastAsia="Arial" w:cs="Arial"/>
      <w:b/>
      <w:bCs/>
      <w:color w:val="2E75B6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2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赵忠林</cp:lastModifiedBy>
  <dcterms:modified xsi:type="dcterms:W3CDTF">2026-08-04T16:57:24Z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36BB7E799CFA16571BA8716A4A9BBAA2_42</vt:lpwstr>
  </property>
</Properties>
</file>