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C6D5" w14:textId="77777777" w:rsidR="003C51F6" w:rsidRDefault="003C51F6">
      <w:pPr>
        <w:pStyle w:val="1"/>
        <w:spacing w:before="0" w:after="0" w:line="560" w:lineRule="exact"/>
        <w:ind w:firstLineChars="200" w:firstLine="720"/>
        <w:jc w:val="center"/>
      </w:pPr>
    </w:p>
    <w:p w14:paraId="1849CD39" w14:textId="77777777" w:rsidR="003C51F6" w:rsidRDefault="00000000">
      <w:pPr>
        <w:pStyle w:val="1"/>
        <w:spacing w:before="0" w:after="0" w:line="560" w:lineRule="exact"/>
        <w:ind w:firstLineChars="200" w:firstLine="880"/>
        <w:jc w:val="center"/>
        <w:rPr>
          <w:rFonts w:ascii="方正小标宋简体" w:eastAsia="方正小标宋简体" w:hAnsi="方正小标宋简体" w:cs="方正小标宋简体" w:hint="eastAsia"/>
          <w:b w:val="0"/>
          <w:bCs w:val="0"/>
          <w:sz w:val="44"/>
          <w:szCs w:val="44"/>
        </w:rPr>
      </w:pPr>
      <w:r>
        <w:rPr>
          <w:rFonts w:ascii="方正小标宋简体" w:eastAsia="方正小标宋简体" w:hAnsi="方正小标宋简体" w:cs="方正小标宋简体" w:hint="eastAsia"/>
          <w:b w:val="0"/>
          <w:bCs w:val="0"/>
          <w:sz w:val="44"/>
          <w:szCs w:val="44"/>
        </w:rPr>
        <w:t>广西农垦企业管理有限公司</w:t>
      </w:r>
    </w:p>
    <w:p w14:paraId="6252B023" w14:textId="77777777" w:rsidR="003C51F6" w:rsidRDefault="00000000">
      <w:pPr>
        <w:pStyle w:val="1"/>
        <w:spacing w:before="0" w:after="0" w:line="560" w:lineRule="exact"/>
        <w:ind w:firstLineChars="200" w:firstLine="880"/>
        <w:jc w:val="center"/>
        <w:rPr>
          <w:rFonts w:ascii="方正小标宋简体" w:eastAsia="方正小标宋简体" w:hAnsi="方正小标宋简体" w:cs="方正小标宋简体" w:hint="eastAsia"/>
          <w:b w:val="0"/>
          <w:bCs w:val="0"/>
          <w:sz w:val="44"/>
          <w:szCs w:val="44"/>
        </w:rPr>
      </w:pPr>
      <w:r>
        <w:rPr>
          <w:rFonts w:ascii="方正小标宋简体" w:eastAsia="方正小标宋简体" w:hAnsi="方正小标宋简体" w:cs="方正小标宋简体" w:hint="eastAsia"/>
          <w:b w:val="0"/>
          <w:bCs w:val="0"/>
          <w:sz w:val="44"/>
          <w:szCs w:val="44"/>
        </w:rPr>
        <w:t>董事长罗世东同志、总经理莫咏麟同志</w:t>
      </w:r>
    </w:p>
    <w:p w14:paraId="193C23E8" w14:textId="77777777" w:rsidR="003C51F6" w:rsidRDefault="00000000">
      <w:pPr>
        <w:pStyle w:val="1"/>
        <w:spacing w:before="0" w:after="0" w:line="560" w:lineRule="exact"/>
        <w:ind w:firstLineChars="200" w:firstLine="880"/>
        <w:jc w:val="center"/>
        <w:rPr>
          <w:rFonts w:ascii="方正小标宋简体" w:eastAsia="方正小标宋简体" w:hAnsi="方正小标宋简体" w:cs="方正小标宋简体" w:hint="eastAsia"/>
          <w:b w:val="0"/>
          <w:bCs w:val="0"/>
          <w:sz w:val="44"/>
          <w:szCs w:val="44"/>
        </w:rPr>
      </w:pPr>
      <w:r>
        <w:rPr>
          <w:rFonts w:ascii="方正小标宋简体" w:eastAsia="方正小标宋简体" w:hAnsi="方正小标宋简体" w:cs="方正小标宋简体" w:hint="eastAsia"/>
          <w:b w:val="0"/>
          <w:bCs w:val="0"/>
          <w:sz w:val="44"/>
          <w:szCs w:val="44"/>
        </w:rPr>
        <w:t>任期经济责任审计实施方案</w:t>
      </w:r>
    </w:p>
    <w:p w14:paraId="6E8EC860" w14:textId="6104C46D" w:rsidR="00835465" w:rsidRPr="00835465" w:rsidRDefault="00835465" w:rsidP="00835465">
      <w:pPr>
        <w:pStyle w:val="1"/>
        <w:spacing w:before="0" w:after="0" w:line="560" w:lineRule="exact"/>
        <w:ind w:firstLineChars="200" w:firstLine="880"/>
        <w:jc w:val="center"/>
        <w:rPr>
          <w:rFonts w:ascii="方正小标宋简体" w:eastAsia="方正小标宋简体" w:hAnsi="方正小标宋简体" w:cs="方正小标宋简体" w:hint="eastAsia"/>
          <w:b w:val="0"/>
          <w:bCs w:val="0"/>
          <w:sz w:val="44"/>
          <w:szCs w:val="44"/>
        </w:rPr>
      </w:pPr>
      <w:r w:rsidRPr="00835465">
        <w:rPr>
          <w:rFonts w:ascii="方正小标宋简体" w:eastAsia="方正小标宋简体" w:hAnsi="方正小标宋简体" w:cs="方正小标宋简体" w:hint="eastAsia"/>
          <w:b w:val="0"/>
          <w:bCs w:val="0"/>
          <w:sz w:val="44"/>
          <w:szCs w:val="44"/>
          <w:highlight w:val="yellow"/>
        </w:rPr>
        <w:t>{{0</w:t>
      </w:r>
      <w:r w:rsidR="00B14C6E">
        <w:rPr>
          <w:rFonts w:ascii="Cambria" w:eastAsia="方正小标宋简体" w:hAnsi="Cambria" w:cs="方正小标宋简体" w:hint="eastAsia"/>
          <w:b w:val="0"/>
          <w:bCs w:val="0"/>
          <w:sz w:val="44"/>
          <w:szCs w:val="44"/>
          <w:highlight w:val="yellow"/>
        </w:rPr>
        <w:t>0</w:t>
      </w:r>
      <w:r w:rsidRPr="00835465">
        <w:rPr>
          <w:rFonts w:ascii="方正小标宋简体" w:eastAsia="方正小标宋简体" w:hAnsi="方正小标宋简体" w:cs="方正小标宋简体" w:hint="eastAsia"/>
          <w:b w:val="0"/>
          <w:bCs w:val="0"/>
          <w:sz w:val="44"/>
          <w:szCs w:val="44"/>
          <w:highlight w:val="yellow"/>
        </w:rPr>
        <w:t>}}</w:t>
      </w:r>
    </w:p>
    <w:p w14:paraId="333A320E" w14:textId="77777777" w:rsidR="003C51F6" w:rsidRDefault="003C51F6"/>
    <w:p w14:paraId="5A9F1475"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t>一、审计依据</w:t>
      </w:r>
    </w:p>
    <w:p w14:paraId="23E0B063" w14:textId="77777777" w:rsidR="003C51F6" w:rsidRDefault="00000000">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（一）中共中央办公厅、国务院办公厅《党政主要领导干部和国有企事业领导人员经济责任审计评价规定》（2019 年 7 月 7 日起实施）；</w:t>
      </w:r>
    </w:p>
    <w:p w14:paraId="7DDB7E4F" w14:textId="77777777" w:rsidR="003C51F6" w:rsidRDefault="00000000">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（二）《广西农垦集团有限公司经济责任审计管理办法》（农垦发〔**〕** 号</w:t>
      </w:r>
      <w:r>
        <w:rPr>
          <w:rFonts w:ascii="仿宋" w:eastAsia="仿宋" w:hAnsi="仿宋" w:cs="仿宋" w:hint="eastAsia"/>
          <w:color w:val="0000FF"/>
          <w:kern w:val="2"/>
          <w:sz w:val="32"/>
          <w:szCs w:val="32"/>
        </w:rPr>
        <w:t>（待补充）</w:t>
      </w:r>
      <w:r>
        <w:rPr>
          <w:rFonts w:ascii="仿宋" w:eastAsia="仿宋" w:hAnsi="仿宋" w:cs="仿宋" w:hint="eastAsia"/>
          <w:kern w:val="2"/>
          <w:sz w:val="32"/>
          <w:szCs w:val="32"/>
        </w:rPr>
        <w:t>）。</w:t>
      </w:r>
    </w:p>
    <w:p w14:paraId="68898D50" w14:textId="77777777" w:rsidR="003C51F6" w:rsidRDefault="00000000">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（三）国家有关法律、法规及相关规定。</w:t>
      </w:r>
    </w:p>
    <w:p w14:paraId="7FFF3690" w14:textId="77777777" w:rsidR="003C51F6" w:rsidRDefault="00000000">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（四）广西农垦集团有限公司下达的年度工作目标。</w:t>
      </w:r>
    </w:p>
    <w:p w14:paraId="7CDD1FDB" w14:textId="77777777" w:rsidR="003C51F6" w:rsidRDefault="00000000">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（五）广西农垦集团有限公司各项管理制度。</w:t>
      </w:r>
    </w:p>
    <w:p w14:paraId="275772A1" w14:textId="77777777" w:rsidR="006839C6" w:rsidRDefault="00000000" w:rsidP="006839C6">
      <w:pPr>
        <w:spacing w:line="560" w:lineRule="exact"/>
        <w:ind w:firstLine="200"/>
        <w:rPr>
          <w:rFonts w:ascii="仿宋" w:eastAsia="仿宋" w:hAnsi="仿宋" w:cs="仿宋" w:hint="eastAsia"/>
          <w:kern w:val="2"/>
          <w:sz w:val="32"/>
          <w:szCs w:val="32"/>
        </w:rPr>
      </w:pPr>
      <w:r>
        <w:rPr>
          <w:rFonts w:ascii="仿宋" w:eastAsia="仿宋" w:hAnsi="仿宋" w:cs="仿宋" w:hint="eastAsia"/>
          <w:kern w:val="2"/>
          <w:sz w:val="32"/>
          <w:szCs w:val="32"/>
        </w:rPr>
        <w:t>（六）双方签订的审计业务约定书。</w:t>
      </w:r>
    </w:p>
    <w:p w14:paraId="4A1C03FA" w14:textId="0EF07C9E" w:rsidR="003C51F6" w:rsidRPr="006839C6" w:rsidRDefault="006839C6">
      <w:pPr>
        <w:spacing w:line="560" w:lineRule="exact"/>
        <w:ind w:firstLine="200"/>
        <w:rPr>
          <w:rFonts w:ascii="仿宋" w:eastAsia="仿宋" w:hAnsi="仿宋" w:cs="仿宋" w:hint="eastAsia"/>
          <w:kern w:val="2"/>
          <w:sz w:val="32"/>
          <w:szCs w:val="32"/>
        </w:rPr>
      </w:pPr>
      <w:r w:rsidRPr="006839C6">
        <w:rPr>
          <w:rFonts w:ascii="仿宋" w:eastAsia="仿宋" w:hAnsi="仿宋" w:cs="仿宋" w:hint="eastAsia"/>
          <w:kern w:val="2"/>
          <w:sz w:val="32"/>
          <w:szCs w:val="32"/>
          <w:highlight w:val="yellow"/>
        </w:rPr>
        <w:t>{{1</w:t>
      </w:r>
      <w:r w:rsidR="00B14C6E">
        <w:rPr>
          <w:rFonts w:ascii="仿宋" w:eastAsia="仿宋" w:hAnsi="仿宋" w:cs="仿宋" w:hint="eastAsia"/>
          <w:kern w:val="2"/>
          <w:sz w:val="32"/>
          <w:szCs w:val="32"/>
          <w:highlight w:val="yellow"/>
        </w:rPr>
        <w:t>0</w:t>
      </w:r>
      <w:r w:rsidRPr="006839C6">
        <w:rPr>
          <w:rFonts w:ascii="仿宋" w:eastAsia="仿宋" w:hAnsi="仿宋" w:cs="仿宋" w:hint="eastAsia"/>
          <w:kern w:val="2"/>
          <w:sz w:val="32"/>
          <w:szCs w:val="32"/>
          <w:highlight w:val="yellow"/>
        </w:rPr>
        <w:t>}}</w:t>
      </w:r>
      <w:r w:rsidR="004C6776" w:rsidRPr="006839C6">
        <w:rPr>
          <w:rFonts w:ascii="仿宋" w:eastAsia="仿宋" w:hAnsi="仿宋" w:cs="仿宋" w:hint="eastAsia"/>
          <w:kern w:val="2"/>
          <w:sz w:val="32"/>
          <w:szCs w:val="32"/>
        </w:rPr>
        <w:t xml:space="preserve"> </w:t>
      </w:r>
    </w:p>
    <w:p w14:paraId="2FD16B8F"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t>二、审计目标</w:t>
      </w:r>
    </w:p>
    <w:p w14:paraId="1018095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通过对罗世东同志、莫咏麟同志任职期间所负责公司资产、负债和损益的真实性、合法性和效益性及其有关经济活动进行审计，查清其任期内公司经济指标和财务收支工作目标完成情况、重大决策执行及实施情况、遵守国家财经法规情况以及国有资产保值增值情况等，分清其经济责任，评价其工作业绩，对其任职期间履行经济责任情况作出客观公正的评价。</w:t>
      </w:r>
    </w:p>
    <w:p w14:paraId="23428DAC" w14:textId="3AE965E8" w:rsidR="00B53457" w:rsidRDefault="00B53457">
      <w:pPr>
        <w:pStyle w:val="Style13"/>
        <w:spacing w:before="0" w:after="0" w:line="560" w:lineRule="exact"/>
        <w:ind w:firstLineChars="200" w:firstLine="640"/>
        <w:rPr>
          <w:rFonts w:ascii="仿宋" w:eastAsia="仿宋" w:hAnsi="仿宋" w:cs="仿宋" w:hint="eastAsia"/>
          <w:kern w:val="2"/>
          <w:sz w:val="32"/>
          <w:szCs w:val="32"/>
        </w:rPr>
      </w:pPr>
      <w:r w:rsidRPr="000B147A">
        <w:rPr>
          <w:rFonts w:ascii="仿宋" w:eastAsia="仿宋" w:hAnsi="仿宋" w:cs="仿宋" w:hint="eastAsia"/>
          <w:kern w:val="2"/>
          <w:sz w:val="32"/>
          <w:szCs w:val="32"/>
          <w:highlight w:val="yellow"/>
        </w:rPr>
        <w:t>{{2</w:t>
      </w:r>
      <w:r w:rsidR="00B14C6E">
        <w:rPr>
          <w:rFonts w:ascii="仿宋" w:eastAsia="仿宋" w:hAnsi="仿宋" w:cs="仿宋" w:hint="eastAsia"/>
          <w:kern w:val="2"/>
          <w:sz w:val="32"/>
          <w:szCs w:val="32"/>
          <w:highlight w:val="yellow"/>
        </w:rPr>
        <w:t>0</w:t>
      </w:r>
      <w:r w:rsidRPr="000B147A">
        <w:rPr>
          <w:rFonts w:ascii="仿宋" w:eastAsia="仿宋" w:hAnsi="仿宋" w:cs="仿宋" w:hint="eastAsia"/>
          <w:kern w:val="2"/>
          <w:sz w:val="32"/>
          <w:szCs w:val="32"/>
          <w:highlight w:val="yellow"/>
        </w:rPr>
        <w:t>}}</w:t>
      </w:r>
    </w:p>
    <w:p w14:paraId="052B37E2"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lastRenderedPageBreak/>
        <w:t>三、审计对象和范围</w:t>
      </w:r>
    </w:p>
    <w:p w14:paraId="660B9471"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本次经济责任审计对象为广西农垦企业管理有限公司罗世东同志，审计期间为 2022年4月至2025年6月任公司董事长职务期间；莫咏麟同志2024年5月 29 日至2025年6月任公司总经理职务期间。审计时限以委托事项期限为基础，重大问题追溯至以前年度，重要事项延伸至审计日。</w:t>
      </w:r>
    </w:p>
    <w:p w14:paraId="50BB1540" w14:textId="26F74B13" w:rsidR="00B53457" w:rsidRDefault="00B53457">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{{3</w:t>
      </w:r>
      <w:r w:rsidR="00B14C6E">
        <w:rPr>
          <w:rFonts w:ascii="仿宋" w:eastAsia="仿宋" w:hAnsi="仿宋" w:cs="仿宋" w:hint="eastAsia"/>
          <w:kern w:val="2"/>
          <w:sz w:val="32"/>
          <w:szCs w:val="32"/>
          <w:highlight w:val="yellow"/>
        </w:rPr>
        <w:t>0</w:t>
      </w:r>
      <w:r w:rsidRPr="00FD5C06">
        <w:rPr>
          <w:rFonts w:ascii="仿宋" w:eastAsia="仿宋" w:hAnsi="仿宋" w:cs="仿宋" w:hint="eastAsia"/>
          <w:kern w:val="2"/>
          <w:sz w:val="32"/>
          <w:szCs w:val="32"/>
          <w:highlight w:val="yellow"/>
        </w:rPr>
        <w:t>}}</w:t>
      </w:r>
    </w:p>
    <w:p w14:paraId="654AADDB"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t>四、被审计单位基本情况</w:t>
      </w:r>
    </w:p>
    <w:p w14:paraId="7CFC9F98"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（一）单位概况</w:t>
      </w:r>
    </w:p>
    <w:p w14:paraId="02837FC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广西农垦企业管理有限公司（以下简称 “企业管理公司” 或 “公司”）成立于 2023 年 7 月 19 日，公司位于南宁市青秀区七星路 135 号农垦大院 9 栋三层、四层，法定代表人为罗世东，统一社会信用代码：91450000MACRB03M23 (2-1)，注册资本 1,000.00 万元人民币。</w:t>
      </w:r>
    </w:p>
    <w:p w14:paraId="09C9F55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企业的经营范围：经营企业管理、住房租赁、土地使用权租赁、普通货物仓储服务、信息咨询服务、信息技术咨询服务。企业发展定位为承接集团二级公司不良债务与资产的处置管理、化解历史遗留风险，其主要业务包括房产租赁、代管企业管理及处置。</w:t>
      </w:r>
    </w:p>
    <w:p w14:paraId="23D61B12"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截至目前，公司拥有全资子公司 1 家，即南宁农垦垦达贸易投资有限责任公司，其注册资本为 97 万元。代管企业共 24 家，包括：广西农垦经济技术开发有限公司及下属公司共 3 家；广西农垦十万大山天然食品有限公司及下属公司共8 家（含已完成清算注销的 2 家下属公司，另广西农垦溯源食品有</w:t>
      </w:r>
      <w:r>
        <w:rPr>
          <w:rFonts w:ascii="仿宋" w:eastAsia="仿宋" w:hAnsi="仿宋" w:cs="仿宋" w:hint="eastAsia"/>
          <w:kern w:val="2"/>
          <w:sz w:val="32"/>
          <w:szCs w:val="32"/>
        </w:rPr>
        <w:lastRenderedPageBreak/>
        <w:t>限公司为失信被执行人）；广西农垦垦达商贸有限公司及下属公司共6 家；集团内部非正常经营企业5家（含已完成清算的 2 家企业）；九曲湾农场公司新划转至经开公司企业2 家。</w:t>
      </w:r>
    </w:p>
    <w:p w14:paraId="56610648" w14:textId="4E84CAA7" w:rsidR="00C2622F" w:rsidRDefault="00C2622F">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{{41}}</w:t>
      </w:r>
    </w:p>
    <w:p w14:paraId="67D953CD"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（二）机构和人员相关情况</w:t>
      </w:r>
    </w:p>
    <w:p w14:paraId="1770BB0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广西农垦企业管理有限公司本部设办公室、资产经营部、财务部、法务审计部 4 个职能部门。</w:t>
      </w:r>
    </w:p>
    <w:p w14:paraId="5AC2B0C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企业管理公司及下属子公司现有在册人员 42 人（含企业管理公司领导班子 3 人），其中企业管理公司在职职工 15 人，下属子公司及代管企业待岗职工 27 人。在职职工 2 人拥有高级职称，1 人拥有中级职称，5 人拥有初级职称。</w:t>
      </w:r>
    </w:p>
    <w:p w14:paraId="00139E09" w14:textId="5EAF8608" w:rsidR="00C2622F" w:rsidRDefault="00C2622F">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{{42}}</w:t>
      </w:r>
    </w:p>
    <w:p w14:paraId="7A04FB4A" w14:textId="77777777" w:rsidR="003C51F6" w:rsidRDefault="00000000">
      <w:pPr>
        <w:widowControl/>
        <w:numPr>
          <w:ilvl w:val="255"/>
          <w:numId w:val="0"/>
        </w:numPr>
        <w:spacing w:line="560" w:lineRule="exact"/>
        <w:ind w:firstLine="200"/>
        <w:jc w:val="left"/>
        <w:outlineLvl w:val="1"/>
        <w:rPr>
          <w:rFonts w:ascii="楷体" w:eastAsia="楷体" w:hAnsi="楷体" w:cs="仿宋" w:hint="eastAsia"/>
          <w:b/>
          <w:bCs/>
          <w:kern w:val="2"/>
          <w:sz w:val="32"/>
          <w:szCs w:val="32"/>
          <w:lang w:bidi="ar"/>
        </w:rPr>
      </w:pPr>
      <w:r>
        <w:rPr>
          <w:rFonts w:ascii="楷体" w:eastAsia="楷体" w:hAnsi="楷体" w:cs="仿宋" w:hint="eastAsia"/>
          <w:b/>
          <w:bCs/>
          <w:kern w:val="2"/>
          <w:sz w:val="32"/>
          <w:szCs w:val="32"/>
        </w:rPr>
        <w:t>（三）</w:t>
      </w:r>
      <w:r>
        <w:rPr>
          <w:rFonts w:ascii="楷体" w:eastAsia="楷体" w:hAnsi="楷体" w:cs="仿宋" w:hint="eastAsia"/>
          <w:b/>
          <w:bCs/>
          <w:kern w:val="2"/>
          <w:sz w:val="32"/>
          <w:szCs w:val="32"/>
          <w:lang w:bidi="ar"/>
        </w:rPr>
        <w:t>财务会计、重大会计政策选用及变动情况</w:t>
      </w:r>
    </w:p>
    <w:p w14:paraId="2C2931C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根据《会计基础工作规范》的要求，公司下设财务部对财务工作进行管理，截至2025年6月，财务部配备财务部长1名、会计2名、出纳1名。</w:t>
      </w:r>
    </w:p>
    <w:p w14:paraId="5D3145A5" w14:textId="77777777" w:rsidR="00B14C6E" w:rsidRDefault="00000000" w:rsidP="00B14C6E">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公司采用《企业会计准则》进行会计核算，使用中华人民共和国财政部监测平台、广西国资监管信息化整合平台、财政部统一报表系统、浪潮GS系统、国资委久其报表系统、全国统一规范电子税务局等系统来规范报表、核算、预算、资金、税务等工作流程。</w:t>
      </w:r>
    </w:p>
    <w:p w14:paraId="43678EB6" w14:textId="41D01225" w:rsidR="003C51F6" w:rsidRDefault="00B14C6E" w:rsidP="00B14C6E">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{{4</w:t>
      </w:r>
      <w:r>
        <w:rPr>
          <w:rFonts w:ascii="仿宋" w:eastAsia="仿宋" w:hAnsi="仿宋" w:cs="仿宋" w:hint="eastAsia"/>
          <w:kern w:val="2"/>
          <w:sz w:val="32"/>
          <w:szCs w:val="32"/>
          <w:highlight w:val="yellow"/>
        </w:rPr>
        <w:t>3</w:t>
      </w:r>
      <w:r w:rsidRPr="00FD5C06">
        <w:rPr>
          <w:rFonts w:ascii="仿宋" w:eastAsia="仿宋" w:hAnsi="仿宋" w:cs="仿宋" w:hint="eastAsia"/>
          <w:kern w:val="2"/>
          <w:sz w:val="32"/>
          <w:szCs w:val="32"/>
          <w:highlight w:val="yellow"/>
        </w:rPr>
        <w:t>}}</w:t>
      </w:r>
    </w:p>
    <w:p w14:paraId="76DAB9C6" w14:textId="77777777" w:rsidR="003C51F6" w:rsidRDefault="00000000">
      <w:pPr>
        <w:widowControl/>
        <w:spacing w:line="560" w:lineRule="exact"/>
        <w:ind w:firstLine="200"/>
        <w:jc w:val="left"/>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（四）审计期间合并口径年度资产负债及各项业务总体情况</w:t>
      </w:r>
    </w:p>
    <w:p w14:paraId="4015E315" w14:textId="77777777" w:rsidR="003C51F6" w:rsidRDefault="00000000">
      <w:pPr>
        <w:spacing w:line="560" w:lineRule="exact"/>
        <w:ind w:leftChars="200" w:left="420"/>
        <w:jc w:val="center"/>
        <w:rPr>
          <w:rFonts w:ascii="仿宋" w:eastAsia="仿宋" w:hAnsi="仿宋" w:cs="仿宋" w:hint="eastAsia"/>
          <w:sz w:val="28"/>
          <w:szCs w:val="28"/>
        </w:rPr>
      </w:pPr>
      <w:r>
        <w:rPr>
          <w:rFonts w:ascii="楷体" w:eastAsia="楷体" w:hAnsi="楷体" w:cs="仿宋" w:hint="eastAsia"/>
          <w:b/>
          <w:bCs/>
          <w:kern w:val="2"/>
          <w:sz w:val="32"/>
          <w:szCs w:val="32"/>
        </w:rPr>
        <w:tab/>
        <w:t xml:space="preserve">                                   </w:t>
      </w:r>
      <w:r>
        <w:rPr>
          <w:rFonts w:ascii="仿宋" w:eastAsia="仿宋" w:hAnsi="仿宋" w:cs="仿宋" w:hint="eastAsia"/>
          <w:sz w:val="28"/>
          <w:szCs w:val="28"/>
        </w:rPr>
        <w:t xml:space="preserve"> 金额单位：万元</w:t>
      </w:r>
    </w:p>
    <w:tbl>
      <w:tblPr>
        <w:tblW w:w="8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778"/>
        <w:gridCol w:w="1917"/>
        <w:gridCol w:w="2073"/>
        <w:gridCol w:w="2229"/>
      </w:tblGrid>
      <w:tr w:rsidR="003C51F6" w14:paraId="4B11FC6B"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2B563BD" w14:textId="77777777" w:rsidR="003C51F6" w:rsidRDefault="00000000">
            <w:pPr>
              <w:pStyle w:val="Style13"/>
              <w:spacing w:before="0" w:after="0"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lastRenderedPageBreak/>
              <w:t>项目</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3C00B99" w14:textId="77777777" w:rsidR="003C51F6" w:rsidRDefault="00000000">
            <w:pPr>
              <w:pStyle w:val="Style13"/>
              <w:spacing w:before="0" w:after="0"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2023 年</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1989C06E" w14:textId="77777777" w:rsidR="003C51F6" w:rsidRDefault="00000000">
            <w:pPr>
              <w:pStyle w:val="Style13"/>
              <w:spacing w:before="0" w:after="0"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2024 年</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4A7F940" w14:textId="77777777" w:rsidR="003C51F6" w:rsidRDefault="00000000">
            <w:pPr>
              <w:pStyle w:val="Style13"/>
              <w:spacing w:before="0" w:after="0"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2025 年 1—6 月</w:t>
            </w:r>
          </w:p>
        </w:tc>
      </w:tr>
      <w:tr w:rsidR="003C51F6" w14:paraId="03987E2A"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0C0D6B7E"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资产总额（万元）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79E17359"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15,810.60</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9130E79"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15,767.20</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4B1F1C96"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15,880.74</w:t>
            </w:r>
          </w:p>
        </w:tc>
      </w:tr>
      <w:tr w:rsidR="003C51F6" w14:paraId="4AF99B8F"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0C2CB24E"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负债总额（万元）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9C111C9"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14,610.12</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6ED40F61"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14,474.74</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85EE164"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14,530.41</w:t>
            </w:r>
          </w:p>
        </w:tc>
      </w:tr>
      <w:tr w:rsidR="003C51F6" w14:paraId="2D740D56"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64D19BCE"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资产负债率</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8532C63"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91.41%</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09DACA27"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91.80%</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989FB22"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91.50%</w:t>
            </w:r>
          </w:p>
        </w:tc>
      </w:tr>
      <w:tr w:rsidR="003C51F6" w14:paraId="48B16929"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83068BE"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营业收入（万元）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42F2C52"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182.59</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30C423D3"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486.52</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6F9F2DEA"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249.42</w:t>
            </w:r>
          </w:p>
        </w:tc>
      </w:tr>
      <w:tr w:rsidR="003C51F6" w14:paraId="6B581FAC"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91C2D2C"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利润总额（万元）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8FDE4AD"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85.66</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F3A85B5"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95.40</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732847D1"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59.88</w:t>
            </w:r>
          </w:p>
        </w:tc>
      </w:tr>
      <w:tr w:rsidR="003C51F6" w14:paraId="484332F2" w14:textId="77777777">
        <w:trPr>
          <w:cantSplit/>
          <w:trHeight w:hRule="exact" w:val="512"/>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2EC40857"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净利润（万元）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3180B903"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82.68</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324685E7"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91.99</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68BB247"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57.86</w:t>
            </w:r>
          </w:p>
        </w:tc>
      </w:tr>
      <w:tr w:rsidR="003C51F6" w14:paraId="5B12F4CC" w14:textId="77777777">
        <w:trPr>
          <w:cantSplit/>
          <w:trHeight w:hRule="exact" w:val="521"/>
        </w:trPr>
        <w:tc>
          <w:tcPr>
            <w:tcW w:w="2778"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55064FFF" w14:textId="77777777" w:rsidR="003C51F6" w:rsidRDefault="00000000">
            <w:pPr>
              <w:pStyle w:val="Style13"/>
              <w:spacing w:before="0" w:after="0" w:line="560" w:lineRule="exact"/>
              <w:rPr>
                <w:rFonts w:ascii="仿宋" w:eastAsia="仿宋" w:hAnsi="仿宋" w:cs="仿宋" w:hint="eastAsia"/>
                <w:sz w:val="28"/>
                <w:szCs w:val="28"/>
              </w:rPr>
            </w:pPr>
            <w:r>
              <w:rPr>
                <w:rFonts w:ascii="仿宋" w:eastAsia="仿宋" w:hAnsi="仿宋" w:cs="仿宋" w:hint="eastAsia"/>
                <w:sz w:val="28"/>
                <w:szCs w:val="28"/>
              </w:rPr>
              <w:t>经营性利润（万元）</w:t>
            </w:r>
          </w:p>
        </w:tc>
        <w:tc>
          <w:tcPr>
            <w:tcW w:w="1917"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6E37BA8F"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85.10</w:t>
            </w:r>
          </w:p>
        </w:tc>
        <w:tc>
          <w:tcPr>
            <w:tcW w:w="2073"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6AFCE061"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91.14</w:t>
            </w:r>
          </w:p>
        </w:tc>
        <w:tc>
          <w:tcPr>
            <w:tcW w:w="2229" w:type="dxa"/>
            <w:tcBorders>
              <w:top w:val="single" w:sz="0" w:space="0" w:color="DEE0E3"/>
              <w:left w:val="single" w:sz="0" w:space="0" w:color="DEE0E3"/>
              <w:bottom w:val="single" w:sz="0" w:space="0" w:color="DEE0E3"/>
              <w:right w:val="single" w:sz="0" w:space="0" w:color="DEE0E3"/>
            </w:tcBorders>
            <w:tcMar>
              <w:top w:w="28" w:type="dxa"/>
              <w:left w:w="120" w:type="dxa"/>
              <w:bottom w:w="28" w:type="dxa"/>
              <w:right w:w="119" w:type="dxa"/>
            </w:tcMar>
            <w:vAlign w:val="center"/>
          </w:tcPr>
          <w:p w14:paraId="0238E0C1" w14:textId="77777777" w:rsidR="003C51F6" w:rsidRDefault="00000000">
            <w:pPr>
              <w:pStyle w:val="Style13"/>
              <w:spacing w:before="0" w:after="0" w:line="560" w:lineRule="exact"/>
              <w:jc w:val="right"/>
              <w:rPr>
                <w:rFonts w:ascii="仿宋" w:eastAsia="仿宋" w:hAnsi="仿宋" w:cs="仿宋" w:hint="eastAsia"/>
                <w:sz w:val="28"/>
                <w:szCs w:val="28"/>
              </w:rPr>
            </w:pPr>
            <w:r>
              <w:rPr>
                <w:rFonts w:ascii="仿宋" w:eastAsia="仿宋" w:hAnsi="仿宋" w:cs="仿宋" w:hint="eastAsia"/>
                <w:sz w:val="28"/>
                <w:szCs w:val="28"/>
              </w:rPr>
              <w:t>59.94</w:t>
            </w:r>
          </w:p>
        </w:tc>
      </w:tr>
    </w:tbl>
    <w:p w14:paraId="7C91EAB8" w14:textId="57CACBC8" w:rsidR="00B14C6E" w:rsidRPr="00B14C6E" w:rsidRDefault="00B14C6E" w:rsidP="00B14C6E">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{{4</w:t>
      </w:r>
      <w:r>
        <w:rPr>
          <w:rFonts w:ascii="仿宋" w:eastAsia="仿宋" w:hAnsi="仿宋" w:cs="仿宋" w:hint="eastAsia"/>
          <w:kern w:val="2"/>
          <w:sz w:val="32"/>
          <w:szCs w:val="32"/>
          <w:highlight w:val="yellow"/>
        </w:rPr>
        <w:t>4</w:t>
      </w:r>
      <w:r w:rsidRPr="00FD5C06">
        <w:rPr>
          <w:rFonts w:ascii="仿宋" w:eastAsia="仿宋" w:hAnsi="仿宋" w:cs="仿宋" w:hint="eastAsia"/>
          <w:kern w:val="2"/>
          <w:sz w:val="32"/>
          <w:szCs w:val="32"/>
          <w:highlight w:val="yellow"/>
        </w:rPr>
        <w:t>}}</w:t>
      </w:r>
    </w:p>
    <w:p w14:paraId="01462828" w14:textId="35E3BB3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（五）相关内部控制</w:t>
      </w:r>
    </w:p>
    <w:p w14:paraId="6654F57F" w14:textId="77777777" w:rsidR="00B14C6E" w:rsidRDefault="00000000" w:rsidP="00B14C6E">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广西农垦企业管理有限公司共计制定《广西农垦企业管理有限公司关于印发 “三重一大” 决策制度实施办法（试行）》《广西农垦企业管理有限公司党支部委员会议事规则（试行）》等内部管理制度 57项，其中，2024 年修编、制定制度 20 项，废止制度 15 项；2025 年制定、修订制度 7 项，废止制度 7 项。</w:t>
      </w:r>
    </w:p>
    <w:p w14:paraId="7B7F3C2D" w14:textId="5DCE0BE5" w:rsidR="003C51F6" w:rsidRDefault="00B14C6E" w:rsidP="00B14C6E">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{{4</w:t>
      </w:r>
      <w:r>
        <w:rPr>
          <w:rFonts w:ascii="仿宋" w:eastAsia="仿宋" w:hAnsi="仿宋" w:cs="仿宋" w:hint="eastAsia"/>
          <w:kern w:val="2"/>
          <w:sz w:val="32"/>
          <w:szCs w:val="32"/>
          <w:highlight w:val="yellow"/>
        </w:rPr>
        <w:t>5</w:t>
      </w:r>
      <w:r w:rsidRPr="00FD5C06">
        <w:rPr>
          <w:rFonts w:ascii="仿宋" w:eastAsia="仿宋" w:hAnsi="仿宋" w:cs="仿宋" w:hint="eastAsia"/>
          <w:kern w:val="2"/>
          <w:sz w:val="32"/>
          <w:szCs w:val="32"/>
          <w:highlight w:val="yellow"/>
        </w:rPr>
        <w:t>}}</w:t>
      </w:r>
    </w:p>
    <w:p w14:paraId="5B348CA6"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t>五、审计内容和重点及审计方法</w:t>
      </w:r>
    </w:p>
    <w:p w14:paraId="0A049CE4"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（一）贯彻执行党和国家有关经济方针和上级决策部署情况</w:t>
      </w:r>
    </w:p>
    <w:p w14:paraId="6E038F79"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19A3FB1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关注罗世东同志、莫咏麟同志及企业管理公司是否严格贯彻执行与履行公司职责，以及公司经营管理和监督有关的法律法规，根据本公司实际情况研究制定的法规制度和政策措施，是否符合有关法律法规的规定。</w:t>
      </w:r>
    </w:p>
    <w:p w14:paraId="42E444A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（2）贯彻执行党和国家有关经济法律、法规和方针政策情况：关注公司在制定地方规划、出台具体措施时是否存在偏离或违背上级意图的情况。通过对比政策要求与执行情况，评估政策的执行力度和效果。</w:t>
      </w:r>
    </w:p>
    <w:p w14:paraId="4A2A5CFC"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有关方针政策和决策部署的执行情况及其效果：关注有关方针政策和决策部署是否得到有效执行，是否存在拖延、推诿，执行不到位、不全面等情况；有关方针政策和决策部署执行效果如何，经济效益、社会效益和环境效益等预期目标是否实现。</w:t>
      </w:r>
    </w:p>
    <w:p w14:paraId="563E10BA"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履行职责情况：关注罗世东同志、莫咏麟同志任职期间是否全面、正确履行有关法律法规和公司管理规定的部门职责，是否存在超越职权、失职、渎职，以及由此造成的重大经济损失浪费、国有资产（资金、资源）流失和重大社会负面影响等问题。重点关注其在履行职责中取得的成效，以及公司在行使职权中存在的问题。</w:t>
      </w:r>
    </w:p>
    <w:p w14:paraId="26149FF7"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00498BE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重点收集和梳理党和国家及上级主管部门下发的与公司经营管理密切相关的经济法律法规、方针政策、发展规划、决策部署和重要批示、交办事项等文件，同时收集任职期间公司印发的相关文件、制度、年度工作计划、会议记录、纪要及工作总结等资料。将公司的文件制度与上级政策进行逐条比对，核查是否存在政策理解偏差或执行走样的情况，例如在不良资产处置、代管企业管理等核心业务上，公司制定的实施细则是否与上级关于国有资产监管的要求一致。</w:t>
      </w:r>
    </w:p>
    <w:p w14:paraId="2088766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（2）审计针对自治区党委、政府及上级主管部门部署的国有资产保值增值、历史遗留问题化解、“两金” 压降等重点工作任务，将通过查阅年度工作目标分解文件、任务完成进度报表、考核结果及逾期应收款清理、“两金” 压降等相关资料，并结合实地访谈等方式开展审计。核实各项工作任务的实际完成情况，针对逾期应收款收回、库存清理等具体成果，检查其与上级下达的不良资产清收目标的匹配程度，深入分析完成过程中所采取措施的合规性和有效性，全面评估重点工作任务的落实成效。</w:t>
      </w:r>
    </w:p>
    <w:p w14:paraId="6987DF5F"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在贯彻落实中央八项规定精神方面，除了核查机构设置、人员编制等情况外，重点对公务用车费用、业务招待费、差旅费等公务支出进行详细审计。抽取一定比例的费用报销凭证，检查是否存在超标准开支、虚开发票等违规行为；通过比对工资发放记录与人员编制名单，核查是否存在违规发放津贴补贴、“吃空饷” 等问题，确保中央八项规定精神在公司得到严格执行。</w:t>
      </w:r>
    </w:p>
    <w:p w14:paraId="2E333FB0" w14:textId="42D47B62"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51</w:t>
      </w:r>
      <w:r w:rsidRPr="00FD5C06">
        <w:rPr>
          <w:rFonts w:ascii="仿宋" w:eastAsia="仿宋" w:hAnsi="仿宋" w:cs="仿宋" w:hint="eastAsia"/>
          <w:kern w:val="2"/>
          <w:sz w:val="32"/>
          <w:szCs w:val="32"/>
          <w:highlight w:val="yellow"/>
        </w:rPr>
        <w:t>}}</w:t>
      </w:r>
    </w:p>
    <w:p w14:paraId="7F1F04DF"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（二）公司发展战略规划的制定、执行和效果情况以及年度责任目标完成情况</w:t>
      </w:r>
    </w:p>
    <w:p w14:paraId="640AD938"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0F3C1D14"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推进公司发展的总体状况：关注罗世东同志、莫咏麟同志任职期间提出的工作发展思路、措施及其执行情况和效果；公司核心业务工作发展状况，以及可持续发展相关的重要工作或者重大事项的完成情况及其效果；公司业务阶段性发展规划的制定及其</w:t>
      </w:r>
      <w:r>
        <w:rPr>
          <w:rFonts w:ascii="仿宋" w:eastAsia="仿宋" w:hAnsi="仿宋" w:cs="仿宋" w:hint="eastAsia"/>
          <w:kern w:val="2"/>
          <w:sz w:val="32"/>
          <w:szCs w:val="32"/>
        </w:rPr>
        <w:lastRenderedPageBreak/>
        <w:t>执行情况和效果；公司取得的重大突出业绩及其社会影响，或者发生的重大问题及其造成的后果情况。</w:t>
      </w:r>
    </w:p>
    <w:p w14:paraId="103432AE"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核实公司年度责任目标的完成情况，包括各项经济指标、项目进展等。对年度责任目标的完成效果进行评价，分析其对公司经济效益、社会效益和可持续发展能力的影响。</w:t>
      </w:r>
    </w:p>
    <w:p w14:paraId="3D88E95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针对审计过程中发现存在的问题和不足，提出改进建议，并督促公司及时整改落实。</w:t>
      </w:r>
    </w:p>
    <w:p w14:paraId="486CAE48"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0C66EDC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审查公司发展战略规划的制定是否符合国家产业政策和广西农垦集团的整体发展布局，特别是在承接不良债务与资产处置、化解历史遗留风险等定位上，战略规划是否具有前瞻性和可操作性。通过对比公司成立以来的战略文件与实际业务发展轨迹，如房产租赁业务的拓展情况、代管企业的整合进度等，评估战略规划的执行力度。</w:t>
      </w:r>
    </w:p>
    <w:p w14:paraId="63BCBB2A"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（2）对于年度责任目标完成情况，以公司提供的年度资产负债表、利润表等财务数据为基础，结合年度工作计划和考核指标，对各项经济指标进行逐一核实。例如，将 2023 年、2024 年及 2025 年 1-6 月的营业收入、利润总额等指标与年度目标进行对比，分析差异原因。对于未完成的目标，检查是否存在主观不作为或客观条件限制等因素，并评估其对公司发展的影响。</w:t>
      </w:r>
    </w:p>
    <w:p w14:paraId="6C8E2901"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（3）采用趋势分析法和比率分析法，对公司核心业务的发展状况进行深入分析。如计算房产租赁业务的出租率、租金增长率等指标，与同行业平均水平进行对比，评估其市场竞争力；分</w:t>
      </w:r>
      <w:r>
        <w:rPr>
          <w:rFonts w:ascii="仿宋" w:eastAsia="仿宋" w:hAnsi="仿宋" w:cs="仿宋" w:hint="eastAsia"/>
          <w:kern w:val="2"/>
          <w:sz w:val="32"/>
          <w:szCs w:val="32"/>
        </w:rPr>
        <w:lastRenderedPageBreak/>
        <w:t>析不良资产处置的效率和回收率，判断公司在化解历史遗留风险方面的成效，进而评价公司发展战略的科学性和可持续性。</w:t>
      </w:r>
      <w:bookmarkStart w:id="0" w:name="_Hlk209281472"/>
    </w:p>
    <w:p w14:paraId="5A652C39" w14:textId="19FD5AE5"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sidRPr="00FD5C06">
        <w:rPr>
          <w:rFonts w:ascii="仿宋" w:eastAsia="仿宋" w:hAnsi="仿宋" w:cs="仿宋" w:hint="eastAsia"/>
          <w:kern w:val="2"/>
          <w:sz w:val="32"/>
          <w:szCs w:val="32"/>
          <w:highlight w:val="yellow"/>
        </w:rPr>
        <w:t>2}}</w:t>
      </w:r>
      <w:bookmarkEnd w:id="0"/>
    </w:p>
    <w:p w14:paraId="765E6B1C"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（三）重大经济事项的决策、执行和效果情况</w:t>
      </w:r>
    </w:p>
    <w:p w14:paraId="1F3FFA4C"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74720974"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（1）重大经济决策管理制度制定情况：关注罗世东同志、莫咏麟同志任职期间，公司是否建立健全了党委会、总经理办公会、董事会议事规则、“三重一大” 等经济决策管理制度，决策管理制度中是否明确了需要民主研究、集体决策的重大经济事项的种类、范围和标准，以及决策程序、决策权限、相应的监督检查和责任追究等保障制度。</w:t>
      </w:r>
    </w:p>
    <w:p w14:paraId="55E18AC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主要重大经济决策事项：罗世东同志、莫咏麟同志任职期间重大经济决策事项总体情况，以及重大预算资金使用及管理、重大项目、重大对外投资项目、重大国有资产处置等重大经济决策事项的数量和涉及金额。</w:t>
      </w:r>
    </w:p>
    <w:p w14:paraId="48967E1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具体重大经济决策事项管理情况：关注重大经济决策事项内容的合法性、决策程序的合规性、决策执行的有效性，揭示重大经济事项决策和执行过程中存在的问题和不足，并提出相应的改进建议，以促进被审计公司不断完善决策和执行机制。</w:t>
      </w:r>
    </w:p>
    <w:p w14:paraId="506F105E"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4FD3B6D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（1）重点审查公司《“三重一大” 决策制度实施办法（试行）》等决策管理制度的完整性和可操作性，检查是否明确了重大投资、资产处置、重要人事任免、大额资金使用等事项的决策权限和程序。通过查阅党委会议、总经理办公会议、董事会等会</w:t>
      </w:r>
      <w:r>
        <w:rPr>
          <w:rFonts w:ascii="仿宋" w:eastAsia="仿宋" w:hAnsi="仿宋" w:cs="仿宋" w:hint="eastAsia"/>
          <w:kern w:val="2"/>
          <w:sz w:val="32"/>
          <w:szCs w:val="32"/>
        </w:rPr>
        <w:lastRenderedPageBreak/>
        <w:t>议记录和纪要，核实重大经济事项是否均经过集体决策，决策过程是否符合制度规定，有无个人专断或程序缺失的情况。</w:t>
      </w:r>
    </w:p>
    <w:p w14:paraId="081A6E5D"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选取一定数量的重大经济决策事项进行跟踪审计，如重大资产租赁、不良资产处置等项目。对于资产处置事项，检查其是否经过资产评估、公开交易等程序，处置价格是否公允，是否存在国有资产流失的风险；对于重大投资项目，审查可行性研究报告、投资回报分析等资料，评估项目是否达到预期收益，如投资项目的实际收益与决策时的预测存在较大偏差，要分析原因并追究相关责任。</w:t>
      </w:r>
    </w:p>
    <w:p w14:paraId="57DBA5C1"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关注重大经济决策的执行跟踪机制是否健全，是否明确了决策执行的责任部门和责任人。通过检查项目进度报告、验收报告等资料，了解决策执行的进度和效果，对于执行不力或未达预期的事项，检查是否及时采取了补救措施，确保重大经济决策能够有效落地。</w:t>
      </w:r>
    </w:p>
    <w:p w14:paraId="79089CDB" w14:textId="24C360D4"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3</w:t>
      </w:r>
      <w:r w:rsidRPr="00FD5C06">
        <w:rPr>
          <w:rFonts w:ascii="仿宋" w:eastAsia="仿宋" w:hAnsi="仿宋" w:cs="仿宋" w:hint="eastAsia"/>
          <w:kern w:val="2"/>
          <w:sz w:val="32"/>
          <w:szCs w:val="32"/>
          <w:highlight w:val="yellow"/>
        </w:rPr>
        <w:t>}}</w:t>
      </w:r>
    </w:p>
    <w:p w14:paraId="5A766ACE"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（四）公司法人治理结构的建立、健全和运行情况，内部控制制度的制定和执行情况</w:t>
      </w:r>
    </w:p>
    <w:p w14:paraId="0BEC3462"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7FA25B61"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（1）组织治理结构的健全和运转情况。</w:t>
      </w:r>
    </w:p>
    <w:p w14:paraId="129898E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重点关注是否建立组织架构，决策层、执行层和监督层是治理结构的基本组织形式；关注公司治理结构是否健全，决策程序是否完善；关注是否明确职责定位，各层、各岗位人员是否明确职责；各种工作机制运行是否有效。</w:t>
      </w:r>
    </w:p>
    <w:p w14:paraId="032E3807"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（2）内部管理制度的建立健全情况。</w:t>
      </w:r>
    </w:p>
    <w:p w14:paraId="1F2805D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统计所建立的内部控制制度的信息，包括属于各个方面的管理制度、文件名称、文号，初步了解公司建立制度的情况；审查公司建立的制度内容、条件是否符合国家、自治区制定的法律法规、规章制度；对照《公司内部控制基本规范》，公司层面和业务层面的内部控制建立健全性评价标准。</w:t>
      </w:r>
    </w:p>
    <w:p w14:paraId="5D73C8EA"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（3）内部管理制度执行情况。</w:t>
      </w:r>
    </w:p>
    <w:p w14:paraId="3DEFAD5F"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关注被审计领导工作开展和内部管理是否符合现有内部控制制度及其效果。</w:t>
      </w:r>
    </w:p>
    <w:p w14:paraId="2EDAF2B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（4）对直属公司的管理和监督情况。</w:t>
      </w:r>
    </w:p>
    <w:p w14:paraId="209E7B8D"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关注罗世东同志、莫咏麟同志任职期间对下属公司履行管理和监督职责情况，关注下属公司是否存在因被审计领导干部未履行职责或管理不到位，出现重大违法违规、重大责任事故等问题。</w:t>
      </w:r>
    </w:p>
    <w:p w14:paraId="7AF6899D"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5F0A517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检查公司法人治理结构是否健全，决策层、执行层、监督层的职责是否明确，是否形成相互制衡的机制。重点审查董事会、监事会、经理层的议事规则和决策程序是否得到有效执行，如董事会对重大投资项目的审批是否规范，监事会对公司财务和经营活动的监督是否到位。通过访谈公司管理层和员工，了解治理结构在实际运行中存在的问题和不足。</w:t>
      </w:r>
    </w:p>
    <w:p w14:paraId="29E4C8D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对公司制定的内部管理制度进行分类梳理，重点检查财务收支、资产管理、合同管理等关键领域制度的健全有效性；通过抽查上述关键领域的相关业务，查看是否存在制度与实际操作脱节的现象；同时，分析 2024 年和 2025 年修订及废止制度</w:t>
      </w:r>
      <w:r>
        <w:rPr>
          <w:rFonts w:ascii="仿宋" w:eastAsia="仿宋" w:hAnsi="仿宋" w:cs="仿宋" w:hint="eastAsia"/>
          <w:kern w:val="2"/>
          <w:sz w:val="32"/>
          <w:szCs w:val="32"/>
        </w:rPr>
        <w:lastRenderedPageBreak/>
        <w:t>的原因与合理性，以确保制度能够适应公司业务发展和管理需求。</w:t>
      </w:r>
    </w:p>
    <w:p w14:paraId="48FA45FC"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通过穿行测试等方法，对公司内部控制制度的执行情况进行测试。例如，在财务收支审批流程中，抽取部分报销凭证，检查是否经过了规定的审批环节和权限；在合同管理方面，检查合同的签订是否经过了法务审核，是否存在合同条款不严谨导致的法律风险。对于发现的内部控制缺陷，评估其对公司经营管理的影响程度，并提出整改建议。</w:t>
      </w:r>
    </w:p>
    <w:p w14:paraId="76666F44"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关注对下属子公司和代管企业的管理监督情况，检查是否建立了有效的管控体系。通过查阅对代管企业的检查报告、审计结果等资料，了解代管企业在经营管理中存在的问题是否得到及时解决。对于广西农垦溯源食品有限公司等失信被执行人企业，检查公司是否采取了有效的风险防控措施，是否存在因管理不到位导致的国有资产损失风险。</w:t>
      </w:r>
    </w:p>
    <w:p w14:paraId="445BB8E0" w14:textId="5DCE6371"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4</w:t>
      </w:r>
      <w:r w:rsidRPr="00FD5C06">
        <w:rPr>
          <w:rFonts w:ascii="仿宋" w:eastAsia="仿宋" w:hAnsi="仿宋" w:cs="仿宋" w:hint="eastAsia"/>
          <w:kern w:val="2"/>
          <w:sz w:val="32"/>
          <w:szCs w:val="32"/>
          <w:highlight w:val="yellow"/>
        </w:rPr>
        <w:t>}}</w:t>
      </w:r>
    </w:p>
    <w:p w14:paraId="0DD04B89"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（五）公司财务的真实合法效益情况，风险管控情况，境外资产管理情况</w:t>
      </w:r>
    </w:p>
    <w:p w14:paraId="0AEE784D"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7989D7E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（1）财务管理和经济风险防范情况​</w:t>
      </w:r>
    </w:p>
    <w:p w14:paraId="382D4A2F"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重点检查现有财务管理制度在代管企业的执行情况，依据相关财务制度，核查代管企业资金使用、费用报销的核心审批环节是否到位，聚焦大额支出是否经过必要审批、有无明显越权行为。针对失信被执行人企业广西农垦溯源食品有限公司，简单比对其与其他代管企业在资金支付审核上的差异（如是否有额外审</w:t>
      </w:r>
      <w:r>
        <w:rPr>
          <w:rFonts w:ascii="仿宋" w:eastAsia="仿宋" w:hAnsi="仿宋" w:cs="仿宋" w:hint="eastAsia"/>
          <w:kern w:val="2"/>
          <w:sz w:val="32"/>
          <w:szCs w:val="32"/>
        </w:rPr>
        <w:lastRenderedPageBreak/>
        <w:t>批环节）。同时，关注公司对 91% 左右高资产负债率的应对措施，检查是否有基础的偿债安排（如债务偿还计划）、闲置资产处置记录及租金收入提升的实际举措（如调价或续租措施），并核实房产租赁业务中是否有应对出租率波动的基本办法（如简单的促销或租户沟通机制）。</w:t>
      </w:r>
    </w:p>
    <w:p w14:paraId="3C83B1A2"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（2）财务收支的真实、合法和效益情况​</w:t>
      </w:r>
    </w:p>
    <w:p w14:paraId="2342756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依据审计期间的财务数据，重点核查营业收入的构成及确认依据：2023 年 182.59 万元、2024 年 486.52 万元、2025 年 1-6 月 249.42 万元的收入中，房产租赁收入、代管服务费等各占比多少，是否与租赁合同、服务协议等原始凭证一致。针对利润总额的逐年增长（2023 年 85.66 万元、2024 年 95.40 万元），检查是否存在通过少计费用（如未足额计提代管企业坏账准备）虚增利润的情况。结合相关财务制度，审查期间费用中与代管企业相关的支出（如派驻人员费用）是否合规，是否存在超标准报销的情况。分析资金使用效益时，重点关注不良资产处置回笼资金（如十万大山公司收回逾期应收款 504 万元）的再投资回报率，是否达到公司预期目标。​</w:t>
      </w:r>
    </w:p>
    <w:p w14:paraId="479F03A7"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（3）国有资产的管理及保值增值情况​</w:t>
      </w:r>
    </w:p>
    <w:p w14:paraId="3A5BF49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针对清理的 3,019.13 万元存货，清理的 3,019.13 万元存货，审计时需重点核查处置程序的合规性：查阅存货处置的相关会议纪要、请示报告及批复文件，确认处置方案是否经过必要的内部审批环节（如管理层审议或授权审批），审批权限是否与公司制度规定一致；检查是否有存货盘点记录、价值评估材料，核实处置标的、数量、价值与实际清理情况是否匹配；核对处置</w:t>
      </w:r>
      <w:r>
        <w:rPr>
          <w:rFonts w:ascii="仿宋" w:eastAsia="仿宋" w:hAnsi="仿宋" w:cs="仿宋" w:hint="eastAsia"/>
          <w:kern w:val="2"/>
          <w:sz w:val="32"/>
          <w:szCs w:val="32"/>
        </w:rPr>
        <w:lastRenderedPageBreak/>
        <w:t>收入的银行进账单、收款凭证与财务入账记录，确认收入金额是否与处置协议一致，是否及时足额纳入公司账务核算，有无账外循环或截留情况。处置价格是否参考市场评估价，处置收入是否足额入账并用于国有资产增值项目。核实固定资产管理情况时，结合公司本部及下属子公司的资产台账，检查是否对代管企业的固定资产（如铺面、设备）建立了联合监管机制，账实不符的资产（如有）是否及时查明原因并处理。计算国有资产保值增值率时，考虑是否需纳入代管企业的资产变动情况，如 2 家已清算注销企业的资产处置是否造成损失，广西农垦经济技术开发有限公司等下属企业的资产增值是否达标。</w:t>
      </w:r>
    </w:p>
    <w:p w14:paraId="74C2ECF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（4）采购管理及执行情况​</w:t>
      </w:r>
    </w:p>
    <w:p w14:paraId="7508BA35" w14:textId="77777777" w:rsidR="003C51F6" w:rsidRDefault="00000000">
      <w:pPr>
        <w:widowControl/>
        <w:spacing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结合公司业务特点，重点梳理与律师事务所服务费的采购合同及相关审批资料，对照企业采购制度中关于服务类采购的规定，核查律师事务所的选定是否履行了必要的采购流程（如比价、审批等）；调取各律师服务费合同的服务内容、收费标准及结算凭证，与市场上同类型律师事务所的服务报价进行比对，评估费用的合理性；检查律师服务费支付是否与合同约定的服务进度、完成情况相匹配，审批手续是否完整合规；同时，关注不同律师事务所服务采购的延续性与必要性，核查是否存在重复采购或可优化整合的情形。</w:t>
      </w:r>
    </w:p>
    <w:p w14:paraId="6ADC6961"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（5）债权债务情况​</w:t>
      </w:r>
    </w:p>
    <w:p w14:paraId="24C39E42" w14:textId="77777777" w:rsidR="003C51F6" w:rsidRDefault="00000000">
      <w:pPr>
        <w:widowControl/>
        <w:spacing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针对代管企业，重点关注 11 起涉案金额 1.405737 亿元法律案件，检查预计负债计提是否足额、胜诉案件执行回款及时性及未决案件风险应对预案制定情况。分析应收账款时，区分公司</w:t>
      </w:r>
      <w:r>
        <w:rPr>
          <w:rFonts w:ascii="仿宋" w:eastAsia="仿宋" w:hAnsi="仿宋" w:cs="仿宋" w:hint="eastAsia"/>
          <w:kern w:val="2"/>
          <w:sz w:val="32"/>
          <w:szCs w:val="32"/>
        </w:rPr>
        <w:lastRenderedPageBreak/>
        <w:t>本部与代管企业债权，核查本部租金欠款中账龄超 1 年的是否采取诉讼催收等措施，代管企业（如十万大山公司）历史欠款清收责任是否落实到部门、清收进度是否与考核挂钩。结合资产负债表，审查2023年14,610.12 万元至 2025 年 1-6 月 14,530.41万元的负债变动，检查是否存在为代管企业垫付资金形成的隐性负债，以及是否建立负债规模预警线（如资产负债率超 92% 时的干预措施）。​</w:t>
      </w:r>
    </w:p>
    <w:p w14:paraId="7F9B12BA"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7B2A781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（1）财务数据真实性审计</w:t>
      </w:r>
    </w:p>
    <w:p w14:paraId="274DAA0D"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将财务报表数据与业务数据交叉核对，对 2024 年营业收入的异常波动，通过抽查每月收入凭证、访谈业务人员确认是否存在提前确认后续年度租金的情况。针对代管企业的财务数据，抽取代表性企业，将其上报的财务报表与公司本部的合并报表进行勾稽核对，检查内部交易抵销是否完整。​</w:t>
      </w:r>
    </w:p>
    <w:p w14:paraId="69818844"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（2）国有资产管理审计</w:t>
      </w:r>
    </w:p>
    <w:p w14:paraId="295586D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实地盘点公司本部及下属子公司的固定资产，重点核查已清理存货的实际去向。对代管企业的资产，通过函证、现场勘查等方式，核实是否存在被挪用、侵占的情况。计算国有资产保值增值率时，扣除客观因素影响，重点分析 2023 - 2024 年所有者权益变动是否真实反映资产增值。</w:t>
      </w:r>
    </w:p>
    <w:p w14:paraId="51230D1F"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（3）风险管控审计</w:t>
      </w:r>
    </w:p>
    <w:p w14:paraId="48BB3361"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针对代管企业的相关情况，检查公司是否在合作初期进行了充分的风险评估，是否建立了代管企业准入和退出机制。分析资产负债率波动的原因，通过现金流量表审查经营活动现金流是否</w:t>
      </w:r>
      <w:r>
        <w:rPr>
          <w:rFonts w:ascii="仿宋" w:eastAsia="仿宋" w:hAnsi="仿宋" w:cs="仿宋" w:hint="eastAsia"/>
          <w:kern w:val="2"/>
          <w:sz w:val="32"/>
          <w:szCs w:val="32"/>
        </w:rPr>
        <w:lastRenderedPageBreak/>
        <w:t>能覆盖利息支出，评估短期偿债风险。对 11 起法律案件，检查法务审计部是否全程参与案件处理，是否存在因应对不力导致损失扩大的情况。</w:t>
      </w:r>
    </w:p>
    <w:p w14:paraId="50AEF744"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（4）采购管理审计：</w:t>
      </w:r>
    </w:p>
    <w:p w14:paraId="6350BC2D"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将年度采购计划与实际采购清单对比，重点检查与代管企业相关的采购是否存在无计划采购。对金额较大的采购项目，审查相关采购资料，确认是否存在围标串标行为。抽查采购付款凭证，核对发票、验收单、合同的一致性，特别关注向代管企业的采购是否存在 “虚开发票、套取资金” 的情况。</w:t>
      </w:r>
    </w:p>
    <w:p w14:paraId="2B4FE75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（5）债权债务审计</w:t>
      </w:r>
    </w:p>
    <w:p w14:paraId="51C9D385"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对应收账款账龄分析表中账龄超过 3 年的款项，检查是否已启动相关程序催收，未催收的是否履行了审批手续。针对十万大山公司收回的逾期应收款，核查回款凭证及资金流向。对应付账款，函证主要债权人，核实债务金额及利率，检查是否存在高息借贷的情况。</w:t>
      </w:r>
    </w:p>
    <w:p w14:paraId="336A91AE" w14:textId="460E302E"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5</w:t>
      </w:r>
      <w:r w:rsidRPr="00FD5C06">
        <w:rPr>
          <w:rFonts w:ascii="仿宋" w:eastAsia="仿宋" w:hAnsi="仿宋" w:cs="仿宋" w:hint="eastAsia"/>
          <w:kern w:val="2"/>
          <w:sz w:val="32"/>
          <w:szCs w:val="32"/>
          <w:highlight w:val="yellow"/>
        </w:rPr>
        <w:t>}}</w:t>
      </w:r>
    </w:p>
    <w:p w14:paraId="1A6385F9"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（六）在经济活动中落实有关党风廉政建设责任和遵守廉洁从业规定情况</w:t>
      </w:r>
    </w:p>
    <w:p w14:paraId="7717590D"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55C03F62"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主要审查领导干部在公司重大问题决策、重要干部任免、重大项目投资决策、大额资金使用上是否贯彻执行国家法律法规和财经纪律，是否遵守公司规章制度，是否存在利用职权和职务上的影响谋取不正当利益的情况，是否存在违反规定干预和插手市</w:t>
      </w:r>
      <w:r>
        <w:rPr>
          <w:rFonts w:ascii="仿宋" w:eastAsia="仿宋" w:hAnsi="仿宋" w:cs="仿宋" w:hint="eastAsia"/>
          <w:kern w:val="2"/>
          <w:sz w:val="32"/>
          <w:szCs w:val="32"/>
        </w:rPr>
        <w:lastRenderedPageBreak/>
        <w:t>场经济活动、谋取私利的情况，有无违反中央八项规定精神的情况。</w:t>
      </w:r>
    </w:p>
    <w:p w14:paraId="4B4C6F96"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4E61B74A"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审查领导人员在重大经济决策中是否严格遵守廉洁从业规定，是否存在利用职权为本人或他人谋取不正当利益的情况。通过查阅重大决策的会议记录、决策文件，以及相关合同协议等资料，检查是否存在违规操作、利益输送等问题。例如，在重大资产处置、项目招标等环节，是否存在领导人员打招呼、干预决策的情况。</w:t>
      </w:r>
    </w:p>
    <w:p w14:paraId="15C17E02"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对领导人员的薪酬福利发放情况进行审计，检查是否符合公司薪酬管理制度和上级有关规定，是否存在违规发放津贴补贴、奖金等情况。通过比对薪酬发放记录与个人所得税申报记录，核查是否存在隐瞒收入、偷逃税款等问题。</w:t>
      </w:r>
    </w:p>
    <w:p w14:paraId="3B0BCA5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关注领导人员在公务活动中的廉洁自律情况，检查是否存在违规收送礼品礼金、违规接受宴请、公车私用等违反中央八项规定精神的行为。通过查阅公务接待记录、公车使用登记等资料，结合信访举报线索，对可疑事项进行深入调查核实。</w:t>
      </w:r>
    </w:p>
    <w:p w14:paraId="295B1EAB"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审查领导人员的亲属及特定关系人与公司的业务往来情况，检查是否存在关联交易不规范、利益输送等问题。通过查询公司供应商、客户名单与领导人员亲属信息的关联关系，排查是否存在利用职权为亲属谋取利益的情况。</w:t>
      </w:r>
    </w:p>
    <w:p w14:paraId="4E5DA373" w14:textId="2057E15F"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6</w:t>
      </w:r>
      <w:r w:rsidRPr="00FD5C06">
        <w:rPr>
          <w:rFonts w:ascii="仿宋" w:eastAsia="仿宋" w:hAnsi="仿宋" w:cs="仿宋" w:hint="eastAsia"/>
          <w:kern w:val="2"/>
          <w:sz w:val="32"/>
          <w:szCs w:val="32"/>
          <w:highlight w:val="yellow"/>
        </w:rPr>
        <w:t>}}</w:t>
      </w:r>
    </w:p>
    <w:p w14:paraId="79544FAF"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（七）对以往审计中发现问题的整改情况</w:t>
      </w:r>
    </w:p>
    <w:p w14:paraId="3281F5C5"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1.审计内容</w:t>
      </w:r>
    </w:p>
    <w:p w14:paraId="3EBE508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审查公司是否建立健全审计整改台账，对所有审计项目纳入检查范围，对所有具体整改事项实行动态管理。核实整改措施是否得到有效执行，是否在规定的时间内完成了整改工作，问题是否得到切实解决，整改范围是否涵盖了审计报告中提出的所有问题，是否存在遗漏或选择性整改的情况，是否存在表面整改、敷衍整改或虚假整改的情况。是否采取了切实可行的整改措施，这些措施是否针对审计发现的问题进行了有效地纠正和改进。</w:t>
      </w:r>
    </w:p>
    <w:p w14:paraId="2623E2DF"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2.审计重点及方法</w:t>
      </w:r>
    </w:p>
    <w:p w14:paraId="49C355B6" w14:textId="77777777" w:rsidR="003C51F6" w:rsidRDefault="00000000">
      <w:pPr>
        <w:pStyle w:val="Style13"/>
        <w:spacing w:before="0" w:after="0" w:line="560" w:lineRule="exact"/>
        <w:ind w:firstLineChars="200" w:firstLine="440"/>
        <w:rPr>
          <w:rFonts w:ascii="仿宋" w:eastAsia="仿宋" w:hAnsi="仿宋" w:cs="仿宋" w:hint="eastAsia"/>
          <w:kern w:val="2"/>
          <w:sz w:val="32"/>
          <w:szCs w:val="32"/>
        </w:rPr>
      </w:pPr>
      <w:r>
        <w:t>（</w:t>
      </w:r>
      <w:r>
        <w:rPr>
          <w:rFonts w:ascii="仿宋" w:eastAsia="仿宋" w:hAnsi="仿宋" w:cs="仿宋" w:hint="eastAsia"/>
          <w:kern w:val="2"/>
          <w:sz w:val="32"/>
          <w:szCs w:val="32"/>
        </w:rPr>
        <w:t>1）获取公司任职期间内外部审计发现问题的整改台账，核对整改台账是否完整记录了问题的整改情况，包括整改措施、整改时限、整改责任人等。通过对比审计报告与整改台账，检查是否存在遗漏整改的问题，确保所有审计发现问题都得到了关注和处理。</w:t>
      </w:r>
    </w:p>
    <w:p w14:paraId="65BBF2A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对整改情况进行实地核查和资料审查，验证整改措施的有效性。例如，对于以往审计发现的财务核算不规范问题，检查是否已按照会计准则进行了调整；对于内部控制缺陷，检查是否已完善了相关制度和流程。通过抽查整改后的业务凭证、文件资料等，评估整改效果是否达到预期目标。</w:t>
      </w:r>
    </w:p>
    <w:p w14:paraId="666DB095"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关注未完成整改的问题，分析未整改的原因，是客观条件限制还是主观不作为导致。对于因主观原因未整改或整改不到位的，要追究相关人员的责任。同时，检查是否建立了长效机制，防止同类问题再次发生，确保审计整改工作取得实效。</w:t>
      </w:r>
    </w:p>
    <w:p w14:paraId="76588160" w14:textId="144D4E47"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7</w:t>
      </w:r>
      <w:r w:rsidRPr="00FD5C06">
        <w:rPr>
          <w:rFonts w:ascii="仿宋" w:eastAsia="仿宋" w:hAnsi="仿宋" w:cs="仿宋" w:hint="eastAsia"/>
          <w:kern w:val="2"/>
          <w:sz w:val="32"/>
          <w:szCs w:val="32"/>
          <w:highlight w:val="yellow"/>
        </w:rPr>
        <w:t>}}</w:t>
      </w:r>
    </w:p>
    <w:p w14:paraId="3C682D1F" w14:textId="77777777" w:rsidR="003C51F6" w:rsidRDefault="00000000">
      <w:pPr>
        <w:pStyle w:val="20"/>
        <w:spacing w:before="0" w:after="0" w:line="560" w:lineRule="exact"/>
        <w:ind w:firstLine="200"/>
        <w:rPr>
          <w:b w:val="0"/>
          <w:bCs w:val="0"/>
          <w:sz w:val="22"/>
          <w:szCs w:val="22"/>
        </w:rPr>
      </w:pPr>
      <w:r>
        <w:rPr>
          <w:rFonts w:ascii="楷体" w:eastAsia="楷体" w:hAnsi="楷体" w:cs="仿宋" w:hint="eastAsia"/>
          <w:kern w:val="2"/>
        </w:rPr>
        <w:t>（八）其他需要审计的事项</w:t>
      </w:r>
    </w:p>
    <w:p w14:paraId="0397D1D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根据广西农垦企业管理有限公司和被审计领导干部具体情况确定的其他需要审计的事项和内容。</w:t>
      </w:r>
    </w:p>
    <w:p w14:paraId="7258B9FA"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审计方法与步骤</w:t>
      </w:r>
    </w:p>
    <w:p w14:paraId="50E3AC79"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收集资料：收集与审计内容相关的政策文件、会议记录、实施方案、执行报告等资料。</w:t>
      </w:r>
    </w:p>
    <w:p w14:paraId="495C732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对比分析：将收集到的资料与政策要求进行对比分析，评估政策的执行情况和效果。</w:t>
      </w:r>
    </w:p>
    <w:p w14:paraId="7ABA66CC"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现场核查：对重点部门、重点项目进行现场核查，了解政策执行的具体情况。</w:t>
      </w:r>
    </w:p>
    <w:p w14:paraId="5C0692D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综合评价：根据审计结果，对领导干部在贯彻执行党和国家经济方针政策、决策部署方面的表现进行综合评价。</w:t>
      </w:r>
    </w:p>
    <w:p w14:paraId="74C0B5F5"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发现问题：通过审计发现领导干部在贯彻执行党和国家经济方针政策、决策部署方面存在的问题和不足。</w:t>
      </w:r>
    </w:p>
    <w:p w14:paraId="033B8618" w14:textId="2FC79D36"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5</w:t>
      </w:r>
      <w:r>
        <w:rPr>
          <w:rFonts w:ascii="仿宋" w:eastAsia="仿宋" w:hAnsi="仿宋" w:cs="仿宋" w:hint="eastAsia"/>
          <w:kern w:val="2"/>
          <w:sz w:val="32"/>
          <w:szCs w:val="32"/>
          <w:highlight w:val="yellow"/>
        </w:rPr>
        <w:t>8</w:t>
      </w:r>
      <w:r w:rsidRPr="00FD5C06">
        <w:rPr>
          <w:rFonts w:ascii="仿宋" w:eastAsia="仿宋" w:hAnsi="仿宋" w:cs="仿宋" w:hint="eastAsia"/>
          <w:kern w:val="2"/>
          <w:sz w:val="32"/>
          <w:szCs w:val="32"/>
          <w:highlight w:val="yellow"/>
        </w:rPr>
        <w:t>}}</w:t>
      </w:r>
    </w:p>
    <w:p w14:paraId="1D93E73D"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t>六、重要风险的识别及应对</w:t>
      </w:r>
    </w:p>
    <w:p w14:paraId="4E1AE28F" w14:textId="77777777" w:rsidR="003C51F6" w:rsidRDefault="00000000">
      <w:pPr>
        <w:spacing w:line="560" w:lineRule="exact"/>
        <w:ind w:firstLine="200"/>
        <w:outlineLvl w:val="1"/>
        <w:rPr>
          <w:rFonts w:ascii="楷体" w:eastAsia="楷体" w:hAnsi="楷体" w:cs="仿宋" w:hint="eastAsia"/>
          <w:b/>
          <w:bCs/>
          <w:kern w:val="2"/>
          <w:sz w:val="32"/>
          <w:szCs w:val="32"/>
        </w:rPr>
      </w:pPr>
      <w:r>
        <w:rPr>
          <w:rFonts w:ascii="楷体" w:eastAsia="楷体" w:hAnsi="楷体" w:cs="仿宋" w:hint="eastAsia"/>
          <w:b/>
          <w:bCs/>
          <w:kern w:val="2"/>
          <w:sz w:val="32"/>
          <w:szCs w:val="32"/>
        </w:rPr>
        <w:t>（一）重要风险的识别</w:t>
      </w:r>
    </w:p>
    <w:p w14:paraId="787258C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1.审计证据不充分风险：可能因审计手段有限、被审计单位配合度低等，导致审计人员获取的证据不全面、不准确，难以支撑审计结论。</w:t>
      </w:r>
    </w:p>
    <w:p w14:paraId="55C5639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2.审计评价不客观风险：受评价标准不明确、审计人员主观因素影响，对被审计领导干部的经济责任履行情况评价可能有失客观公正。</w:t>
      </w:r>
    </w:p>
    <w:p w14:paraId="1089D3C0"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3.内部控制失效风险：被审计单位内部控制制度不完善或执行不力，可能导致财务数据失真、资产流失、违规决策等问题，增加审计风险。</w:t>
      </w:r>
    </w:p>
    <w:p w14:paraId="17E6F19E"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4.法律法规政策变化风险：审计期间若相关法律法规、政策发生变更，可能影响审计判断和结论的准确性。</w:t>
      </w:r>
    </w:p>
    <w:p w14:paraId="128D1BF5" w14:textId="05A895D4"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61</w:t>
      </w:r>
      <w:r w:rsidRPr="00FD5C06">
        <w:rPr>
          <w:rFonts w:ascii="仿宋" w:eastAsia="仿宋" w:hAnsi="仿宋" w:cs="仿宋" w:hint="eastAsia"/>
          <w:kern w:val="2"/>
          <w:sz w:val="32"/>
          <w:szCs w:val="32"/>
          <w:highlight w:val="yellow"/>
        </w:rPr>
        <w:t>}}</w:t>
      </w:r>
    </w:p>
    <w:p w14:paraId="4A764A1D" w14:textId="77777777" w:rsidR="003C51F6" w:rsidRDefault="00000000">
      <w:pPr>
        <w:pStyle w:val="20"/>
        <w:spacing w:before="0" w:after="0" w:line="560" w:lineRule="exact"/>
        <w:ind w:firstLineChars="200" w:firstLine="643"/>
        <w:rPr>
          <w:rFonts w:ascii="楷体" w:eastAsia="楷体" w:hAnsi="楷体" w:cs="仿宋" w:hint="eastAsia"/>
          <w:kern w:val="2"/>
        </w:rPr>
      </w:pPr>
      <w:r>
        <w:rPr>
          <w:rFonts w:ascii="楷体" w:eastAsia="楷体" w:hAnsi="楷体" w:cs="仿宋" w:hint="eastAsia"/>
          <w:kern w:val="2"/>
        </w:rPr>
        <w:t>（二）风险的应对策略</w:t>
      </w:r>
    </w:p>
    <w:p w14:paraId="370618A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1.确保审计证据充分性：综合运用多种审计方法，如查阅文件资料、实地盘点、调查访谈等，扩大证据收集范围。同时，加强与被审计单位沟通，要求其按规定提供完整资料，对重要事项获取充分、适当的证据。</w:t>
      </w:r>
    </w:p>
    <w:p w14:paraId="7FEC512C"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2.保证审计评价客观性：制定明确、具体的评价标准和指标体系，结合被审计单位实际情况及行业特点，进行全面、客观分析。审计人员要保持独立性和职业谨慎，避免主观偏见，评价语言应准确、规范，依据充分。</w:t>
      </w:r>
    </w:p>
    <w:p w14:paraId="27F30005"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3.强化内部控制审查：首先对被审计单位内部控制进行全面测试和评估，找出薄弱环节。关注关键岗位和重要业务流程的控制情况，提出改进建议，督促其完善内部控制制度并有效执行，降低因内部控制失效带来的风险。</w:t>
      </w:r>
    </w:p>
    <w:p w14:paraId="2F88A81B"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4.及时关注法律法规政策变化：审计人员要持续学习和关注最新法律法规、政策动态，及时调整审计思路和方法。在审计过程中，对涉及政策变化的事项，要深入分析其对审计结论的影响，确保审计工作符合最新要求。</w:t>
      </w:r>
    </w:p>
    <w:p w14:paraId="30547D2F" w14:textId="69BDC299"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6</w:t>
      </w:r>
      <w:r w:rsidRPr="00FD5C06">
        <w:rPr>
          <w:rFonts w:ascii="仿宋" w:eastAsia="仿宋" w:hAnsi="仿宋" w:cs="仿宋" w:hint="eastAsia"/>
          <w:kern w:val="2"/>
          <w:sz w:val="32"/>
          <w:szCs w:val="32"/>
          <w:highlight w:val="yellow"/>
        </w:rPr>
        <w:t>2}}</w:t>
      </w:r>
    </w:p>
    <w:p w14:paraId="345344D9" w14:textId="77777777" w:rsidR="003C51F6" w:rsidRDefault="00000000">
      <w:pPr>
        <w:pStyle w:val="1"/>
        <w:spacing w:before="0" w:after="0" w:line="560" w:lineRule="exact"/>
        <w:ind w:firstLineChars="200" w:firstLine="643"/>
        <w:rPr>
          <w:rFonts w:ascii="黑体" w:eastAsia="黑体" w:hAnsi="黑体" w:cs="黑体" w:hint="eastAsia"/>
          <w:sz w:val="32"/>
          <w:szCs w:val="32"/>
        </w:rPr>
      </w:pPr>
      <w:r>
        <w:rPr>
          <w:rFonts w:ascii="黑体" w:eastAsia="黑体" w:hAnsi="黑体" w:cs="黑体" w:hint="eastAsia"/>
          <w:sz w:val="32"/>
          <w:szCs w:val="32"/>
        </w:rPr>
        <w:lastRenderedPageBreak/>
        <w:t>七、审计技术方法</w:t>
      </w:r>
    </w:p>
    <w:p w14:paraId="79850B5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运用检查、观察、询问、调查、分析和计算机审计等方法，运用比较分析、比率分析、结构分析等方法执行实质性分析程序；运用穿行测试、重新计算、重新执行等方法执行控制测试；运用抽查、函证等执行细节测试。对广西农垦企业管理有限公司提供的会计报表、会计账簿、会计凭证等会计资料以及有关经济活动的合同、文件等资料开展审计和审计调查。调阅与任期经济责任人履行经济责任有关的会议记录、会议纪要等资料，采取座谈和个别谈话等形式，并参考任期经济责任人任期内各级审计机关及相关部门对广西农垦企业管理有限公司的检查结果，并针对审计发现的问题，提出具体的改进建议和措施。</w:t>
      </w:r>
    </w:p>
    <w:p w14:paraId="00106ED6"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各阶段的主要审计方法如下：</w:t>
      </w:r>
    </w:p>
    <w:p w14:paraId="1178A8A4"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1.审计准备阶段：</w:t>
      </w:r>
    </w:p>
    <w:p w14:paraId="5CEA4517"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收集资料：收集被审计单位的基本情况，如组织架构、经营业务、财务状况等资料，以及被审计领导干部的职责范围、任期目标等相关文件，为后续审计工作提供基础信息。</w:t>
      </w:r>
    </w:p>
    <w:p w14:paraId="22695C9E"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制定审计方案：根据收集的资料和审计目标，确定审计范围、重点、步骤和方法等，明确审计人员分工和时间安排，使审计工作有序进行。</w:t>
      </w:r>
    </w:p>
    <w:p w14:paraId="3F12D1D2"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2.审计实施阶段：</w:t>
      </w:r>
    </w:p>
    <w:p w14:paraId="5008368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财务审计方法：运用检查、监盘、观察、查询及函证、计算、分析性复核等方法，对被审计单位的财务报表、会计凭证、账簿等进行审查，核实财务数据的真实性、准确性和完整性，检查是否存在财务违规行为。</w:t>
      </w:r>
    </w:p>
    <w:p w14:paraId="66201588"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lastRenderedPageBreak/>
        <w:t>内部控制测评方法：通过询问、观察、检查文件记录等方式，了解被审计单位内部控制制度的设计和执行情况，测试内部控制的有效性，找出内部控制的薄弱环节，确定审计重点。</w:t>
      </w:r>
    </w:p>
    <w:p w14:paraId="77E6E95B"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数据分析法：利用计算机辅助审计技术，对被审计单位的财务数据和业务数据进行分析，通过数据挖掘、对比分析、趋势分析等方法，发现异常数据和潜在问题，提高审计效率和准确性。</w:t>
      </w:r>
    </w:p>
    <w:p w14:paraId="709337ED"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调查访谈法：与被审计单位的领导、员工、相关利益者等进行个别谈话或召开座谈会，了解被审计领导干部的工作情况、决策过程、廉洁自律等方面的信息，获取审计线索和证据。</w:t>
      </w:r>
    </w:p>
    <w:p w14:paraId="5AD56047"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3.审计终结阶段：</w:t>
      </w:r>
    </w:p>
    <w:p w14:paraId="46DB7443" w14:textId="77777777" w:rsidR="003C51F6" w:rsidRDefault="00000000">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综合分析评价法：对审计实施阶段获取的证据和信息进行综合分析，结合审计目标和评价标准，对被审计领导干部的经济责任履行情况进行全面、客观、公正的评价，形成审计结论。</w:t>
      </w:r>
    </w:p>
    <w:p w14:paraId="2FDF5D98" w14:textId="77777777" w:rsidR="00794918" w:rsidRDefault="00000000" w:rsidP="00794918">
      <w:pPr>
        <w:pStyle w:val="Style13"/>
        <w:spacing w:before="0" w:after="0" w:line="560" w:lineRule="exact"/>
        <w:ind w:firstLineChars="200" w:firstLine="640"/>
        <w:rPr>
          <w:rFonts w:ascii="仿宋" w:eastAsia="仿宋" w:hAnsi="仿宋" w:cs="仿宋" w:hint="eastAsia"/>
          <w:kern w:val="2"/>
          <w:sz w:val="32"/>
          <w:szCs w:val="32"/>
        </w:rPr>
      </w:pPr>
      <w:r>
        <w:rPr>
          <w:rFonts w:ascii="仿宋" w:eastAsia="仿宋" w:hAnsi="仿宋" w:cs="仿宋" w:hint="eastAsia"/>
          <w:kern w:val="2"/>
          <w:sz w:val="32"/>
          <w:szCs w:val="32"/>
        </w:rPr>
        <w:t>沟通协调法：与被审计单位和被审计领导干部就审计结果进行沟通，听取他们的意见和解释，对合理的意见予以采纳，对存在分歧的问题进行进一步核实和研究，确保审计报告的准确性和客观性。</w:t>
      </w:r>
    </w:p>
    <w:p w14:paraId="6C07FA77" w14:textId="2567353D"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70</w:t>
      </w:r>
      <w:r w:rsidRPr="00FD5C06">
        <w:rPr>
          <w:rFonts w:ascii="仿宋" w:eastAsia="仿宋" w:hAnsi="仿宋" w:cs="仿宋" w:hint="eastAsia"/>
          <w:kern w:val="2"/>
          <w:sz w:val="32"/>
          <w:szCs w:val="32"/>
          <w:highlight w:val="yellow"/>
        </w:rPr>
        <w:t>}}</w:t>
      </w:r>
    </w:p>
    <w:p w14:paraId="0920960E" w14:textId="77777777" w:rsidR="003C51F6" w:rsidRDefault="00000000">
      <w:pPr>
        <w:pStyle w:val="1"/>
        <w:spacing w:before="0" w:after="0" w:line="560" w:lineRule="exact"/>
        <w:ind w:firstLine="200"/>
        <w:rPr>
          <w:rFonts w:ascii="黑体" w:eastAsia="黑体" w:hAnsi="黑体" w:cs="黑体" w:hint="eastAsia"/>
          <w:b w:val="0"/>
          <w:bCs w:val="0"/>
          <w:sz w:val="32"/>
          <w:szCs w:val="32"/>
        </w:rPr>
      </w:pPr>
      <w:r>
        <w:rPr>
          <w:rFonts w:ascii="黑体" w:eastAsia="黑体" w:hAnsi="黑体" w:cs="黑体" w:hint="eastAsia"/>
          <w:sz w:val="32"/>
          <w:szCs w:val="32"/>
        </w:rPr>
        <w:t>八、工作步骤与时间安排</w:t>
      </w:r>
    </w:p>
    <w:p w14:paraId="42293D13"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根据被审计单位和被审计领导干部具体情况确定的其他需要审计的事项和内容。审计工作进度及时间安排具体划分以下几个阶段：</w:t>
      </w:r>
    </w:p>
    <w:p w14:paraId="4318DF43" w14:textId="77777777" w:rsidR="003C51F6" w:rsidRDefault="00000000">
      <w:pPr>
        <w:pStyle w:val="20"/>
        <w:spacing w:before="0" w:after="0" w:line="560" w:lineRule="exact"/>
        <w:ind w:firstLine="200"/>
        <w:rPr>
          <w:rFonts w:ascii="楷体" w:eastAsia="楷体" w:hAnsi="楷体" w:cs="楷体" w:hint="eastAsia"/>
        </w:rPr>
      </w:pPr>
      <w:r>
        <w:rPr>
          <w:rFonts w:ascii="楷体" w:eastAsia="楷体" w:hAnsi="楷体" w:cs="楷体" w:hint="eastAsia"/>
        </w:rPr>
        <w:t>（一）准备阶段（2025年7月10日-2025年7月29日）</w:t>
      </w:r>
    </w:p>
    <w:p w14:paraId="2C39F39E"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1.安排审计人员组成审计组，指定审计组长，实行审计组长</w:t>
      </w:r>
      <w:r>
        <w:rPr>
          <w:rFonts w:ascii="仿宋" w:eastAsia="仿宋" w:hAnsi="仿宋" w:cs="仿宋" w:hint="eastAsia"/>
          <w:sz w:val="32"/>
          <w:szCs w:val="32"/>
        </w:rPr>
        <w:lastRenderedPageBreak/>
        <w:t>负责制。根据项目工作量的大小，配备一定数量的专业审计人员，并遵循审计回避制度。每个审计人员按照各自分工，做好开展审计项目的准备工作。</w:t>
      </w:r>
    </w:p>
    <w:p w14:paraId="4643CBEA"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2.搜集和调查广西农垦企业管理有限公司有关资料。充分利用现有的审计资源，搜集企业管理公司档案资料、办公会议纪要、内控制度、领导干部任职期间的财务报告，调查了</w:t>
      </w:r>
      <w:r>
        <w:rPr>
          <w:rFonts w:ascii="仿宋" w:eastAsia="仿宋" w:hAnsi="仿宋" w:cs="仿宋" w:hint="eastAsia"/>
          <w:kern w:val="2"/>
          <w:sz w:val="32"/>
          <w:szCs w:val="32"/>
        </w:rPr>
        <w:t>企业管理公司</w:t>
      </w:r>
      <w:r>
        <w:rPr>
          <w:rFonts w:ascii="仿宋" w:eastAsia="仿宋" w:hAnsi="仿宋" w:cs="仿宋" w:hint="eastAsia"/>
          <w:sz w:val="32"/>
          <w:szCs w:val="32"/>
        </w:rPr>
        <w:t>的经营状况，询问企业管理公司有关人员等，全面了解</w:t>
      </w:r>
      <w:r>
        <w:rPr>
          <w:rFonts w:ascii="仿宋" w:eastAsia="仿宋" w:hAnsi="仿宋" w:cs="仿宋" w:hint="eastAsia"/>
          <w:kern w:val="2"/>
          <w:sz w:val="32"/>
          <w:szCs w:val="32"/>
        </w:rPr>
        <w:t>企业管理公司</w:t>
      </w:r>
      <w:r>
        <w:rPr>
          <w:rFonts w:ascii="仿宋" w:eastAsia="仿宋" w:hAnsi="仿宋" w:cs="仿宋" w:hint="eastAsia"/>
          <w:sz w:val="32"/>
          <w:szCs w:val="32"/>
        </w:rPr>
        <w:t>的经营状况，存在的问题，管理上的薄弱环节，以及企业管理公司干部的领导能力和管理能力。为客观评价企业管理公司领导干部的经济责任做好基础工作。</w:t>
      </w:r>
    </w:p>
    <w:p w14:paraId="31F2AFD8"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研究制定审计方案。在做好调查研究工作的基础上，审计组制定切实可行的审计方案。审计方案主要包括审计依据、审计对象基本情况、审计目的、审计指导思想、审计范围、审计的主要内容和重点、审计评价的内容和指标、重要性的确定和审计风险的评估、工作进度和时间安排、审计组织与分工等。</w:t>
      </w:r>
    </w:p>
    <w:p w14:paraId="4650B128" w14:textId="77777777" w:rsidR="003C51F6" w:rsidRDefault="00000000">
      <w:pPr>
        <w:pStyle w:val="20"/>
        <w:spacing w:before="0" w:after="0" w:line="560" w:lineRule="exact"/>
        <w:ind w:firstLine="200"/>
        <w:rPr>
          <w:rFonts w:ascii="楷体" w:eastAsia="楷体" w:hAnsi="楷体" w:cs="楷体" w:hint="eastAsia"/>
        </w:rPr>
      </w:pPr>
      <w:r>
        <w:rPr>
          <w:rFonts w:ascii="楷体" w:eastAsia="楷体" w:hAnsi="楷体" w:cs="楷体" w:hint="eastAsia"/>
        </w:rPr>
        <w:t>（二）实施阶段（2025年7月30日—2025年8月30日）</w:t>
      </w:r>
    </w:p>
    <w:p w14:paraId="20A93482"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收集审计资料，实施实质性程序，与企业管理公司相关人员进行个别谈话或了解情况，对获取的各种数据和信息进行综合分析，完成审计取证工作，整理、编写、复核工作底稿。</w:t>
      </w:r>
    </w:p>
    <w:p w14:paraId="16502510" w14:textId="77777777" w:rsidR="003C51F6" w:rsidRDefault="00000000">
      <w:pPr>
        <w:pStyle w:val="20"/>
        <w:spacing w:before="0" w:after="0" w:line="560" w:lineRule="exact"/>
        <w:ind w:firstLine="200"/>
        <w:rPr>
          <w:rFonts w:ascii="楷体" w:eastAsia="楷体" w:hAnsi="楷体" w:cs="楷体" w:hint="eastAsia"/>
        </w:rPr>
      </w:pPr>
      <w:r>
        <w:rPr>
          <w:rFonts w:ascii="楷体" w:eastAsia="楷体" w:hAnsi="楷体" w:cs="楷体" w:hint="eastAsia"/>
        </w:rPr>
        <w:t>（三）报告阶段（2025年9月1日—2025年9月30日）</w:t>
      </w:r>
    </w:p>
    <w:p w14:paraId="1BAA9561"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编写审计报告，与被审计人及委托公司交换意见，根据意见修改完善报告，出具正式的审计报告。</w:t>
      </w:r>
    </w:p>
    <w:p w14:paraId="7A317769" w14:textId="77777777" w:rsidR="003C51F6" w:rsidRDefault="00000000">
      <w:pPr>
        <w:pStyle w:val="20"/>
        <w:spacing w:before="0" w:after="0" w:line="560" w:lineRule="exact"/>
        <w:ind w:firstLine="200"/>
        <w:rPr>
          <w:rFonts w:ascii="楷体" w:eastAsia="楷体" w:hAnsi="楷体" w:cs="楷体" w:hint="eastAsia"/>
        </w:rPr>
      </w:pPr>
      <w:r>
        <w:rPr>
          <w:rFonts w:ascii="楷体" w:eastAsia="楷体" w:hAnsi="楷体" w:cs="楷体" w:hint="eastAsia"/>
        </w:rPr>
        <w:t>（四）归档阶段（成果提交后自行安排时间）</w:t>
      </w:r>
    </w:p>
    <w:p w14:paraId="56BEFACB"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审计资料整理归案，建立审计档案。详细审计程序如下图所</w:t>
      </w:r>
      <w:r>
        <w:rPr>
          <w:rFonts w:ascii="仿宋" w:eastAsia="仿宋" w:hAnsi="仿宋" w:cs="仿宋" w:hint="eastAsia"/>
          <w:sz w:val="32"/>
          <w:szCs w:val="32"/>
        </w:rPr>
        <w:lastRenderedPageBreak/>
        <w:t>示：</w:t>
      </w:r>
    </w:p>
    <w:p w14:paraId="77A81D20" w14:textId="77777777" w:rsidR="003C51F6" w:rsidRDefault="003C51F6"/>
    <w:p w14:paraId="07725D99" w14:textId="77777777" w:rsidR="003C51F6" w:rsidRDefault="003C51F6">
      <w:pPr>
        <w:pStyle w:val="2"/>
        <w:ind w:firstLine="640"/>
      </w:pPr>
    </w:p>
    <w:p w14:paraId="497D6B8E" w14:textId="77777777" w:rsidR="003C51F6" w:rsidRDefault="003C51F6"/>
    <w:p w14:paraId="6B941088" w14:textId="77777777" w:rsidR="003C51F6" w:rsidRDefault="003C51F6">
      <w:pPr>
        <w:pStyle w:val="2"/>
        <w:ind w:firstLine="640"/>
      </w:pPr>
    </w:p>
    <w:p w14:paraId="2A4B2B77" w14:textId="0A558939" w:rsidR="003C51F6" w:rsidRDefault="003C51F6">
      <w:pPr>
        <w:rPr>
          <w:rFonts w:ascii="楷体" w:eastAsia="楷体" w:hAnsi="楷体" w:cs="楷体" w:hint="eastAsia"/>
        </w:rPr>
      </w:pPr>
    </w:p>
    <w:p w14:paraId="20CF4A07" w14:textId="0E7DFA6B" w:rsidR="003C51F6" w:rsidRDefault="00794918">
      <w:pPr>
        <w:rPr>
          <w:rFonts w:ascii="楷体" w:eastAsia="楷体" w:hAnsi="楷体" w:cs="楷体" w:hint="eastAsia"/>
        </w:rPr>
      </w:pPr>
      <w:r>
        <w:rPr>
          <w:rFonts w:ascii="楷体" w:eastAsia="楷体" w:hAnsi="楷体" w:cs="楷体" w:hint="eastAsia"/>
          <w:noProof/>
          <w:sz w:val="32"/>
          <w:szCs w:val="32"/>
        </w:rPr>
        <w:drawing>
          <wp:inline distT="0" distB="0" distL="0" distR="0" wp14:anchorId="0CC388DE" wp14:editId="179CCC17">
            <wp:extent cx="5026660" cy="7505065"/>
            <wp:effectExtent l="0" t="0" r="2540"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26660" cy="7505065"/>
                    </a:xfrm>
                    <a:prstGeom prst="rect">
                      <a:avLst/>
                    </a:prstGeom>
                    <a:noFill/>
                  </pic:spPr>
                </pic:pic>
              </a:graphicData>
            </a:graphic>
          </wp:inline>
        </w:drawing>
      </w:r>
    </w:p>
    <w:p w14:paraId="4B57A132" w14:textId="77777777" w:rsidR="003C51F6" w:rsidRDefault="003C51F6">
      <w:pPr>
        <w:rPr>
          <w:rFonts w:ascii="楷体" w:eastAsia="楷体" w:hAnsi="楷体" w:cs="楷体" w:hint="eastAsia"/>
        </w:rPr>
      </w:pPr>
    </w:p>
    <w:p w14:paraId="7BCFCCE8" w14:textId="77777777" w:rsidR="003C51F6" w:rsidRDefault="003C51F6">
      <w:pPr>
        <w:rPr>
          <w:rFonts w:ascii="楷体" w:eastAsia="楷体" w:hAnsi="楷体" w:cs="楷体" w:hint="eastAsia"/>
        </w:rPr>
      </w:pPr>
    </w:p>
    <w:p w14:paraId="6DF4E700" w14:textId="77777777" w:rsidR="003C51F6" w:rsidRDefault="003C51F6">
      <w:pPr>
        <w:rPr>
          <w:rFonts w:ascii="楷体" w:eastAsia="楷体" w:hAnsi="楷体" w:cs="楷体" w:hint="eastAsia"/>
        </w:rPr>
      </w:pPr>
    </w:p>
    <w:p w14:paraId="674EDB9D" w14:textId="77777777" w:rsidR="003C51F6" w:rsidRDefault="003C51F6">
      <w:pPr>
        <w:rPr>
          <w:rFonts w:ascii="楷体" w:eastAsia="楷体" w:hAnsi="楷体" w:cs="楷体" w:hint="eastAsia"/>
        </w:rPr>
      </w:pPr>
    </w:p>
    <w:p w14:paraId="754E5828" w14:textId="77777777" w:rsidR="00794918" w:rsidRDefault="00794918" w:rsidP="00794918">
      <w:pPr>
        <w:pStyle w:val="Style13"/>
        <w:spacing w:before="0" w:after="0" w:line="560" w:lineRule="exact"/>
        <w:ind w:firstLineChars="200" w:firstLine="640"/>
        <w:rPr>
          <w:rFonts w:ascii="仿宋" w:eastAsia="仿宋" w:hAnsi="仿宋" w:cs="仿宋" w:hint="eastAsia"/>
          <w:kern w:val="2"/>
          <w:sz w:val="32"/>
          <w:szCs w:val="32"/>
        </w:rPr>
      </w:pPr>
    </w:p>
    <w:p w14:paraId="574C1689" w14:textId="589D4B86" w:rsidR="003C51F6" w:rsidRDefault="00794918" w:rsidP="00794918">
      <w:pPr>
        <w:rPr>
          <w:rFonts w:ascii="黑体" w:eastAsia="黑体" w:hAnsi="黑体" w:cs="黑体" w:hint="eastAsia"/>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80</w:t>
      </w:r>
      <w:r w:rsidRPr="00FD5C06">
        <w:rPr>
          <w:rFonts w:ascii="仿宋" w:eastAsia="仿宋" w:hAnsi="仿宋" w:cs="仿宋" w:hint="eastAsia"/>
          <w:kern w:val="2"/>
          <w:sz w:val="32"/>
          <w:szCs w:val="32"/>
          <w:highlight w:val="yellow"/>
        </w:rPr>
        <w:t>}}</w:t>
      </w:r>
    </w:p>
    <w:p w14:paraId="1D097351" w14:textId="77777777" w:rsidR="003C51F6" w:rsidRDefault="003C51F6">
      <w:pPr>
        <w:rPr>
          <w:rFonts w:ascii="黑体" w:eastAsia="黑体" w:hAnsi="黑体" w:cs="黑体" w:hint="eastAsia"/>
          <w:sz w:val="32"/>
          <w:szCs w:val="32"/>
        </w:rPr>
      </w:pPr>
    </w:p>
    <w:p w14:paraId="0E99B356" w14:textId="77777777" w:rsidR="003C51F6" w:rsidRDefault="003C51F6">
      <w:pPr>
        <w:rPr>
          <w:rFonts w:ascii="黑体" w:eastAsia="黑体" w:hAnsi="黑体" w:cs="黑体" w:hint="eastAsia"/>
          <w:sz w:val="32"/>
          <w:szCs w:val="32"/>
        </w:rPr>
      </w:pPr>
    </w:p>
    <w:p w14:paraId="3981939A" w14:textId="77777777" w:rsidR="003C51F6" w:rsidRDefault="003C51F6">
      <w:pPr>
        <w:rPr>
          <w:rFonts w:ascii="黑体" w:eastAsia="黑体" w:hAnsi="黑体" w:cs="黑体" w:hint="eastAsia"/>
          <w:sz w:val="32"/>
          <w:szCs w:val="32"/>
        </w:rPr>
      </w:pPr>
    </w:p>
    <w:p w14:paraId="3B085EFA" w14:textId="77777777" w:rsidR="003C51F6" w:rsidRDefault="003C51F6">
      <w:pPr>
        <w:rPr>
          <w:rFonts w:ascii="黑体" w:eastAsia="黑体" w:hAnsi="黑体" w:cs="黑体" w:hint="eastAsia"/>
          <w:sz w:val="32"/>
          <w:szCs w:val="32"/>
        </w:rPr>
      </w:pPr>
    </w:p>
    <w:p w14:paraId="4B30631A" w14:textId="77777777" w:rsidR="003C51F6" w:rsidRDefault="003C51F6">
      <w:pPr>
        <w:rPr>
          <w:rFonts w:ascii="黑体" w:eastAsia="黑体" w:hAnsi="黑体" w:cs="黑体" w:hint="eastAsia"/>
          <w:sz w:val="32"/>
          <w:szCs w:val="32"/>
        </w:rPr>
      </w:pPr>
    </w:p>
    <w:p w14:paraId="1A56C4D3" w14:textId="77777777" w:rsidR="003C51F6" w:rsidRDefault="003C51F6">
      <w:pPr>
        <w:rPr>
          <w:rFonts w:ascii="黑体" w:eastAsia="黑体" w:hAnsi="黑体" w:cs="黑体" w:hint="eastAsia"/>
          <w:sz w:val="32"/>
          <w:szCs w:val="32"/>
        </w:rPr>
      </w:pPr>
    </w:p>
    <w:p w14:paraId="0DC9871B" w14:textId="77777777" w:rsidR="003C51F6" w:rsidRDefault="003C51F6">
      <w:pPr>
        <w:rPr>
          <w:rFonts w:ascii="黑体" w:eastAsia="黑体" w:hAnsi="黑体" w:cs="黑体" w:hint="eastAsia"/>
          <w:sz w:val="32"/>
          <w:szCs w:val="32"/>
        </w:rPr>
      </w:pPr>
    </w:p>
    <w:p w14:paraId="0750CFFC" w14:textId="77777777" w:rsidR="003C51F6" w:rsidRDefault="003C51F6">
      <w:pPr>
        <w:rPr>
          <w:rFonts w:ascii="黑体" w:eastAsia="黑体" w:hAnsi="黑体" w:cs="黑体" w:hint="eastAsia"/>
          <w:sz w:val="32"/>
          <w:szCs w:val="32"/>
        </w:rPr>
      </w:pPr>
    </w:p>
    <w:p w14:paraId="42479A5D" w14:textId="77777777" w:rsidR="003C51F6" w:rsidRDefault="00000000">
      <w:pPr>
        <w:pStyle w:val="1"/>
        <w:rPr>
          <w:rFonts w:ascii="黑体" w:eastAsia="黑体" w:hAnsi="黑体" w:cs="黑体" w:hint="eastAsia"/>
          <w:sz w:val="32"/>
          <w:szCs w:val="32"/>
        </w:rPr>
      </w:pPr>
      <w:r>
        <w:rPr>
          <w:rFonts w:ascii="黑体" w:eastAsia="黑体" w:hAnsi="黑体" w:cs="黑体" w:hint="eastAsia"/>
          <w:sz w:val="32"/>
          <w:szCs w:val="32"/>
        </w:rPr>
        <w:t>九、审计工作的组织实施</w:t>
      </w:r>
    </w:p>
    <w:p w14:paraId="4FF9B4E1" w14:textId="77777777" w:rsidR="003C51F6" w:rsidRDefault="00000000">
      <w:pPr>
        <w:pStyle w:val="20"/>
        <w:rPr>
          <w:rFonts w:ascii="楷体" w:eastAsia="楷体" w:hAnsi="楷体" w:cs="楷体" w:hint="eastAsia"/>
          <w:b w:val="0"/>
          <w:bCs w:val="0"/>
        </w:rPr>
      </w:pPr>
      <w:r>
        <w:rPr>
          <w:rFonts w:ascii="楷体" w:eastAsia="楷体" w:hAnsi="楷体" w:cs="楷体" w:hint="eastAsia"/>
        </w:rPr>
        <w:t>（一）审计工作组人员分工组织情况</w:t>
      </w:r>
    </w:p>
    <w:p w14:paraId="399D0670"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1.人员安排</w:t>
      </w:r>
    </w:p>
    <w:p w14:paraId="580CC357"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根据服务范围及内容，本次审计工作拟派专业人员8名，具体如下表：</w:t>
      </w:r>
    </w:p>
    <w:tbl>
      <w:tblPr>
        <w:tblStyle w:val="ab"/>
        <w:tblW w:w="9894" w:type="dxa"/>
        <w:tblInd w:w="-147" w:type="dxa"/>
        <w:tblLayout w:type="fixed"/>
        <w:tblLook w:val="04A0" w:firstRow="1" w:lastRow="0" w:firstColumn="1" w:lastColumn="0" w:noHBand="0" w:noVBand="1"/>
      </w:tblPr>
      <w:tblGrid>
        <w:gridCol w:w="457"/>
        <w:gridCol w:w="903"/>
        <w:gridCol w:w="915"/>
        <w:gridCol w:w="531"/>
        <w:gridCol w:w="579"/>
        <w:gridCol w:w="733"/>
        <w:gridCol w:w="1466"/>
        <w:gridCol w:w="982"/>
        <w:gridCol w:w="750"/>
        <w:gridCol w:w="1214"/>
        <w:gridCol w:w="1364"/>
      </w:tblGrid>
      <w:tr w:rsidR="003C51F6" w14:paraId="06FAEC42" w14:textId="77777777">
        <w:trPr>
          <w:cantSplit/>
          <w:trHeight w:hRule="exact" w:val="990"/>
          <w:tblHeader/>
        </w:trPr>
        <w:tc>
          <w:tcPr>
            <w:tcW w:w="457" w:type="dxa"/>
            <w:tcBorders>
              <w:top w:val="single" w:sz="4" w:space="0" w:color="auto"/>
              <w:left w:val="single" w:sz="4" w:space="0" w:color="auto"/>
              <w:bottom w:val="single" w:sz="4" w:space="0" w:color="auto"/>
              <w:right w:val="single" w:sz="4" w:space="0" w:color="auto"/>
            </w:tcBorders>
            <w:vAlign w:val="center"/>
          </w:tcPr>
          <w:p w14:paraId="7CAEB379"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lastRenderedPageBreak/>
              <w:t>序号</w:t>
            </w:r>
          </w:p>
        </w:tc>
        <w:tc>
          <w:tcPr>
            <w:tcW w:w="903" w:type="dxa"/>
            <w:tcBorders>
              <w:top w:val="single" w:sz="4" w:space="0" w:color="auto"/>
              <w:left w:val="single" w:sz="4" w:space="0" w:color="auto"/>
              <w:bottom w:val="single" w:sz="4" w:space="0" w:color="auto"/>
              <w:right w:val="single" w:sz="4" w:space="0" w:color="auto"/>
            </w:tcBorders>
            <w:vAlign w:val="center"/>
          </w:tcPr>
          <w:p w14:paraId="5528251D"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担任岗位</w:t>
            </w:r>
          </w:p>
        </w:tc>
        <w:tc>
          <w:tcPr>
            <w:tcW w:w="915" w:type="dxa"/>
            <w:tcBorders>
              <w:top w:val="single" w:sz="4" w:space="0" w:color="auto"/>
              <w:left w:val="single" w:sz="4" w:space="0" w:color="auto"/>
              <w:bottom w:val="single" w:sz="4" w:space="0" w:color="auto"/>
              <w:right w:val="single" w:sz="4" w:space="0" w:color="auto"/>
            </w:tcBorders>
            <w:vAlign w:val="center"/>
          </w:tcPr>
          <w:p w14:paraId="0024A2A1"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姓 名</w:t>
            </w:r>
          </w:p>
        </w:tc>
        <w:tc>
          <w:tcPr>
            <w:tcW w:w="531" w:type="dxa"/>
            <w:tcBorders>
              <w:top w:val="single" w:sz="4" w:space="0" w:color="auto"/>
              <w:left w:val="single" w:sz="4" w:space="0" w:color="auto"/>
              <w:bottom w:val="single" w:sz="4" w:space="0" w:color="auto"/>
              <w:right w:val="single" w:sz="4" w:space="0" w:color="auto"/>
            </w:tcBorders>
            <w:vAlign w:val="center"/>
          </w:tcPr>
          <w:p w14:paraId="187FACD8"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性 别</w:t>
            </w:r>
          </w:p>
        </w:tc>
        <w:tc>
          <w:tcPr>
            <w:tcW w:w="579" w:type="dxa"/>
            <w:tcBorders>
              <w:top w:val="single" w:sz="4" w:space="0" w:color="auto"/>
              <w:left w:val="single" w:sz="4" w:space="0" w:color="auto"/>
              <w:bottom w:val="single" w:sz="4" w:space="0" w:color="auto"/>
              <w:right w:val="single" w:sz="4" w:space="0" w:color="auto"/>
            </w:tcBorders>
            <w:vAlign w:val="center"/>
          </w:tcPr>
          <w:p w14:paraId="75169057"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年 龄</w:t>
            </w:r>
          </w:p>
        </w:tc>
        <w:tc>
          <w:tcPr>
            <w:tcW w:w="733" w:type="dxa"/>
            <w:tcBorders>
              <w:top w:val="single" w:sz="4" w:space="0" w:color="auto"/>
              <w:left w:val="single" w:sz="4" w:space="0" w:color="auto"/>
              <w:bottom w:val="single" w:sz="4" w:space="0" w:color="auto"/>
              <w:right w:val="single" w:sz="4" w:space="0" w:color="auto"/>
            </w:tcBorders>
            <w:vAlign w:val="center"/>
          </w:tcPr>
          <w:p w14:paraId="7DAC58D0"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学 历</w:t>
            </w:r>
          </w:p>
        </w:tc>
        <w:tc>
          <w:tcPr>
            <w:tcW w:w="1466" w:type="dxa"/>
            <w:tcBorders>
              <w:top w:val="single" w:sz="4" w:space="0" w:color="auto"/>
              <w:left w:val="single" w:sz="4" w:space="0" w:color="auto"/>
              <w:bottom w:val="single" w:sz="4" w:space="0" w:color="auto"/>
              <w:right w:val="single" w:sz="4" w:space="0" w:color="auto"/>
            </w:tcBorders>
            <w:vAlign w:val="center"/>
          </w:tcPr>
          <w:p w14:paraId="57D815AD"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毕业院校及专业</w:t>
            </w:r>
          </w:p>
        </w:tc>
        <w:tc>
          <w:tcPr>
            <w:tcW w:w="982" w:type="dxa"/>
            <w:tcBorders>
              <w:top w:val="single" w:sz="4" w:space="0" w:color="auto"/>
              <w:left w:val="single" w:sz="4" w:space="0" w:color="auto"/>
              <w:bottom w:val="single" w:sz="4" w:space="0" w:color="auto"/>
              <w:right w:val="single" w:sz="4" w:space="0" w:color="auto"/>
            </w:tcBorders>
            <w:vAlign w:val="center"/>
          </w:tcPr>
          <w:p w14:paraId="17C48044"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毕业时间</w:t>
            </w:r>
          </w:p>
        </w:tc>
        <w:tc>
          <w:tcPr>
            <w:tcW w:w="750" w:type="dxa"/>
            <w:tcBorders>
              <w:top w:val="single" w:sz="4" w:space="0" w:color="auto"/>
              <w:left w:val="single" w:sz="4" w:space="0" w:color="auto"/>
              <w:bottom w:val="single" w:sz="4" w:space="0" w:color="auto"/>
              <w:right w:val="single" w:sz="4" w:space="0" w:color="auto"/>
            </w:tcBorders>
            <w:vAlign w:val="center"/>
          </w:tcPr>
          <w:p w14:paraId="68797230"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从业年限</w:t>
            </w:r>
          </w:p>
        </w:tc>
        <w:tc>
          <w:tcPr>
            <w:tcW w:w="1214" w:type="dxa"/>
            <w:tcBorders>
              <w:top w:val="single" w:sz="4" w:space="0" w:color="auto"/>
              <w:left w:val="single" w:sz="4" w:space="0" w:color="auto"/>
              <w:bottom w:val="single" w:sz="4" w:space="0" w:color="auto"/>
              <w:right w:val="single" w:sz="4" w:space="0" w:color="auto"/>
            </w:tcBorders>
            <w:vAlign w:val="center"/>
          </w:tcPr>
          <w:p w14:paraId="161E9234"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取得职称或</w:t>
            </w:r>
          </w:p>
          <w:p w14:paraId="2DDB848C"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专业技术资格</w:t>
            </w:r>
          </w:p>
        </w:tc>
        <w:tc>
          <w:tcPr>
            <w:tcW w:w="1364" w:type="dxa"/>
            <w:tcBorders>
              <w:top w:val="single" w:sz="4" w:space="0" w:color="auto"/>
              <w:left w:val="single" w:sz="4" w:space="0" w:color="auto"/>
              <w:bottom w:val="single" w:sz="4" w:space="0" w:color="auto"/>
              <w:right w:val="single" w:sz="4" w:space="0" w:color="auto"/>
            </w:tcBorders>
            <w:vAlign w:val="center"/>
          </w:tcPr>
          <w:p w14:paraId="5978B66A" w14:textId="77777777" w:rsidR="003C51F6" w:rsidRDefault="00000000">
            <w:pPr>
              <w:jc w:val="center"/>
              <w:rPr>
                <w:rFonts w:ascii="仿宋" w:eastAsia="仿宋" w:hAnsi="仿宋" w:cs="仿宋" w:hint="eastAsia"/>
                <w:b/>
                <w:bCs/>
                <w:sz w:val="18"/>
                <w:szCs w:val="18"/>
              </w:rPr>
            </w:pPr>
            <w:r>
              <w:rPr>
                <w:rFonts w:ascii="仿宋" w:eastAsia="仿宋" w:hAnsi="仿宋" w:cs="仿宋" w:hint="eastAsia"/>
                <w:b/>
                <w:bCs/>
                <w:sz w:val="18"/>
                <w:szCs w:val="18"/>
              </w:rPr>
              <w:t>资格证编号</w:t>
            </w:r>
          </w:p>
        </w:tc>
      </w:tr>
      <w:tr w:rsidR="003C51F6" w14:paraId="7132DCB7" w14:textId="77777777">
        <w:trPr>
          <w:cantSplit/>
          <w:trHeight w:hRule="exact" w:val="655"/>
          <w:tblHeader/>
        </w:trPr>
        <w:tc>
          <w:tcPr>
            <w:tcW w:w="457" w:type="dxa"/>
            <w:tcBorders>
              <w:top w:val="single" w:sz="4" w:space="0" w:color="auto"/>
              <w:left w:val="single" w:sz="4" w:space="0" w:color="auto"/>
              <w:bottom w:val="single" w:sz="4" w:space="0" w:color="auto"/>
              <w:right w:val="single" w:sz="4" w:space="0" w:color="auto"/>
            </w:tcBorders>
            <w:vAlign w:val="center"/>
          </w:tcPr>
          <w:p w14:paraId="63465B18"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1</w:t>
            </w:r>
          </w:p>
        </w:tc>
        <w:tc>
          <w:tcPr>
            <w:tcW w:w="903" w:type="dxa"/>
            <w:tcBorders>
              <w:top w:val="single" w:sz="4" w:space="0" w:color="auto"/>
              <w:left w:val="single" w:sz="4" w:space="0" w:color="auto"/>
              <w:bottom w:val="single" w:sz="4" w:space="0" w:color="auto"/>
              <w:right w:val="single" w:sz="4" w:space="0" w:color="auto"/>
            </w:tcBorders>
            <w:vAlign w:val="center"/>
          </w:tcPr>
          <w:p w14:paraId="1D218DA0"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项目负责人</w:t>
            </w:r>
          </w:p>
        </w:tc>
        <w:tc>
          <w:tcPr>
            <w:tcW w:w="915" w:type="dxa"/>
            <w:tcBorders>
              <w:top w:val="single" w:sz="4" w:space="0" w:color="auto"/>
              <w:left w:val="single" w:sz="4" w:space="0" w:color="auto"/>
              <w:bottom w:val="single" w:sz="4" w:space="0" w:color="auto"/>
              <w:right w:val="single" w:sz="4" w:space="0" w:color="auto"/>
            </w:tcBorders>
            <w:vAlign w:val="center"/>
          </w:tcPr>
          <w:p w14:paraId="2B42E7CD"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李春红</w:t>
            </w:r>
          </w:p>
        </w:tc>
        <w:tc>
          <w:tcPr>
            <w:tcW w:w="531" w:type="dxa"/>
            <w:tcBorders>
              <w:top w:val="single" w:sz="4" w:space="0" w:color="auto"/>
              <w:left w:val="single" w:sz="4" w:space="0" w:color="auto"/>
              <w:bottom w:val="single" w:sz="4" w:space="0" w:color="auto"/>
              <w:right w:val="single" w:sz="4" w:space="0" w:color="auto"/>
            </w:tcBorders>
            <w:vAlign w:val="center"/>
          </w:tcPr>
          <w:p w14:paraId="40C3718C"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女</w:t>
            </w:r>
          </w:p>
        </w:tc>
        <w:tc>
          <w:tcPr>
            <w:tcW w:w="579" w:type="dxa"/>
            <w:tcBorders>
              <w:top w:val="single" w:sz="4" w:space="0" w:color="auto"/>
              <w:left w:val="single" w:sz="4" w:space="0" w:color="auto"/>
              <w:bottom w:val="single" w:sz="4" w:space="0" w:color="auto"/>
              <w:right w:val="single" w:sz="4" w:space="0" w:color="auto"/>
            </w:tcBorders>
            <w:vAlign w:val="center"/>
          </w:tcPr>
          <w:p w14:paraId="24E7EC0A" w14:textId="77777777" w:rsidR="003C51F6" w:rsidRDefault="003C51F6">
            <w:pPr>
              <w:widowControl/>
              <w:jc w:val="center"/>
              <w:textAlignment w:val="center"/>
              <w:rPr>
                <w:rFonts w:ascii="仿宋" w:eastAsia="仿宋" w:hAnsi="仿宋" w:cs="仿宋" w:hint="eastAsia"/>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14:paraId="70570FD9" w14:textId="77777777" w:rsidR="003C51F6" w:rsidRDefault="003C51F6">
            <w:pPr>
              <w:widowControl/>
              <w:jc w:val="center"/>
              <w:textAlignment w:val="center"/>
              <w:rPr>
                <w:rFonts w:ascii="仿宋" w:eastAsia="仿宋" w:hAnsi="仿宋" w:cs="仿宋" w:hint="eastAsia"/>
                <w:sz w:val="18"/>
                <w:szCs w:val="18"/>
              </w:rPr>
            </w:pPr>
          </w:p>
        </w:tc>
        <w:tc>
          <w:tcPr>
            <w:tcW w:w="1466" w:type="dxa"/>
            <w:tcBorders>
              <w:top w:val="single" w:sz="4" w:space="0" w:color="auto"/>
              <w:left w:val="single" w:sz="4" w:space="0" w:color="auto"/>
              <w:bottom w:val="single" w:sz="4" w:space="0" w:color="auto"/>
              <w:right w:val="single" w:sz="4" w:space="0" w:color="auto"/>
            </w:tcBorders>
            <w:vAlign w:val="center"/>
          </w:tcPr>
          <w:p w14:paraId="5707FE54" w14:textId="77777777" w:rsidR="003C51F6" w:rsidRDefault="003C51F6">
            <w:pPr>
              <w:widowControl/>
              <w:jc w:val="center"/>
              <w:textAlignment w:val="center"/>
            </w:pPr>
          </w:p>
        </w:tc>
        <w:tc>
          <w:tcPr>
            <w:tcW w:w="982" w:type="dxa"/>
            <w:tcBorders>
              <w:top w:val="single" w:sz="4" w:space="0" w:color="auto"/>
              <w:left w:val="single" w:sz="4" w:space="0" w:color="auto"/>
              <w:bottom w:val="single" w:sz="4" w:space="0" w:color="auto"/>
              <w:right w:val="single" w:sz="4" w:space="0" w:color="auto"/>
            </w:tcBorders>
            <w:vAlign w:val="center"/>
          </w:tcPr>
          <w:p w14:paraId="68B4B827" w14:textId="77777777" w:rsidR="003C51F6" w:rsidRDefault="003C51F6">
            <w:pPr>
              <w:widowControl/>
              <w:jc w:val="center"/>
              <w:textAlignment w:val="center"/>
              <w:rPr>
                <w:rFonts w:ascii="仿宋" w:eastAsia="仿宋" w:hAnsi="仿宋" w:cs="仿宋" w:hint="eastAsia"/>
                <w:sz w:val="18"/>
                <w:szCs w:val="18"/>
              </w:rPr>
            </w:pPr>
          </w:p>
        </w:tc>
        <w:tc>
          <w:tcPr>
            <w:tcW w:w="750" w:type="dxa"/>
            <w:tcBorders>
              <w:top w:val="single" w:sz="4" w:space="0" w:color="auto"/>
              <w:left w:val="single" w:sz="4" w:space="0" w:color="auto"/>
              <w:bottom w:val="single" w:sz="4" w:space="0" w:color="auto"/>
              <w:right w:val="single" w:sz="4" w:space="0" w:color="auto"/>
            </w:tcBorders>
            <w:vAlign w:val="center"/>
          </w:tcPr>
          <w:p w14:paraId="78098FA0" w14:textId="77777777" w:rsidR="003C51F6" w:rsidRDefault="003C51F6">
            <w:pPr>
              <w:widowControl/>
              <w:jc w:val="center"/>
              <w:textAlignment w:val="center"/>
              <w:rPr>
                <w:rFonts w:ascii="仿宋" w:eastAsia="仿宋" w:hAnsi="仿宋" w:cs="仿宋" w:hint="eastAsia"/>
                <w:sz w:val="18"/>
                <w:szCs w:val="18"/>
              </w:rPr>
            </w:pPr>
          </w:p>
        </w:tc>
        <w:tc>
          <w:tcPr>
            <w:tcW w:w="1214" w:type="dxa"/>
            <w:tcBorders>
              <w:top w:val="single" w:sz="4" w:space="0" w:color="auto"/>
              <w:left w:val="single" w:sz="4" w:space="0" w:color="auto"/>
              <w:bottom w:val="single" w:sz="4" w:space="0" w:color="auto"/>
              <w:right w:val="single" w:sz="4" w:space="0" w:color="auto"/>
            </w:tcBorders>
            <w:vAlign w:val="center"/>
          </w:tcPr>
          <w:p w14:paraId="21D7D6B3" w14:textId="77777777" w:rsidR="003C51F6" w:rsidRDefault="003C51F6">
            <w:pPr>
              <w:widowControl/>
              <w:jc w:val="center"/>
              <w:textAlignment w:val="center"/>
            </w:pPr>
          </w:p>
        </w:tc>
        <w:tc>
          <w:tcPr>
            <w:tcW w:w="1364" w:type="dxa"/>
            <w:tcBorders>
              <w:top w:val="single" w:sz="4" w:space="0" w:color="auto"/>
              <w:left w:val="single" w:sz="4" w:space="0" w:color="auto"/>
              <w:bottom w:val="single" w:sz="4" w:space="0" w:color="auto"/>
              <w:right w:val="single" w:sz="4" w:space="0" w:color="auto"/>
            </w:tcBorders>
            <w:vAlign w:val="center"/>
          </w:tcPr>
          <w:p w14:paraId="70546851" w14:textId="77777777" w:rsidR="003C51F6" w:rsidRDefault="003C51F6">
            <w:pPr>
              <w:widowControl/>
              <w:jc w:val="left"/>
              <w:rPr>
                <w:rFonts w:ascii="宋体" w:hAnsi="宋体" w:cs="宋体" w:hint="eastAsia"/>
                <w:color w:val="000000"/>
                <w:sz w:val="16"/>
                <w:szCs w:val="16"/>
                <w:lang w:bidi="ar"/>
              </w:rPr>
            </w:pPr>
          </w:p>
        </w:tc>
      </w:tr>
      <w:tr w:rsidR="003C51F6" w14:paraId="36AB0D33" w14:textId="77777777">
        <w:trPr>
          <w:cantSplit/>
          <w:trHeight w:hRule="exact" w:val="655"/>
          <w:tblHeader/>
        </w:trPr>
        <w:tc>
          <w:tcPr>
            <w:tcW w:w="457" w:type="dxa"/>
            <w:tcBorders>
              <w:top w:val="single" w:sz="4" w:space="0" w:color="auto"/>
              <w:left w:val="single" w:sz="4" w:space="0" w:color="auto"/>
              <w:bottom w:val="single" w:sz="4" w:space="0" w:color="auto"/>
              <w:right w:val="single" w:sz="4" w:space="0" w:color="auto"/>
            </w:tcBorders>
            <w:vAlign w:val="center"/>
          </w:tcPr>
          <w:p w14:paraId="474A4AE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w:t>
            </w:r>
          </w:p>
        </w:tc>
        <w:tc>
          <w:tcPr>
            <w:tcW w:w="903" w:type="dxa"/>
            <w:tcBorders>
              <w:top w:val="single" w:sz="4" w:space="0" w:color="auto"/>
              <w:left w:val="single" w:sz="4" w:space="0" w:color="auto"/>
              <w:bottom w:val="single" w:sz="4" w:space="0" w:color="auto"/>
              <w:right w:val="single" w:sz="4" w:space="0" w:color="auto"/>
            </w:tcBorders>
            <w:vAlign w:val="center"/>
          </w:tcPr>
          <w:p w14:paraId="08281B1F"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项目主审</w:t>
            </w:r>
          </w:p>
        </w:tc>
        <w:tc>
          <w:tcPr>
            <w:tcW w:w="915" w:type="dxa"/>
            <w:tcBorders>
              <w:top w:val="single" w:sz="4" w:space="0" w:color="auto"/>
              <w:left w:val="single" w:sz="4" w:space="0" w:color="auto"/>
              <w:bottom w:val="single" w:sz="4" w:space="0" w:color="auto"/>
              <w:right w:val="single" w:sz="4" w:space="0" w:color="auto"/>
            </w:tcBorders>
            <w:vAlign w:val="center"/>
          </w:tcPr>
          <w:p w14:paraId="05A5254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潘晓玲</w:t>
            </w:r>
          </w:p>
        </w:tc>
        <w:tc>
          <w:tcPr>
            <w:tcW w:w="531" w:type="dxa"/>
            <w:tcBorders>
              <w:top w:val="single" w:sz="4" w:space="0" w:color="auto"/>
              <w:left w:val="single" w:sz="4" w:space="0" w:color="auto"/>
              <w:bottom w:val="single" w:sz="4" w:space="0" w:color="auto"/>
              <w:right w:val="single" w:sz="4" w:space="0" w:color="auto"/>
            </w:tcBorders>
            <w:vAlign w:val="center"/>
          </w:tcPr>
          <w:p w14:paraId="2B93739A"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女</w:t>
            </w:r>
          </w:p>
        </w:tc>
        <w:tc>
          <w:tcPr>
            <w:tcW w:w="579" w:type="dxa"/>
            <w:tcBorders>
              <w:top w:val="single" w:sz="4" w:space="0" w:color="auto"/>
              <w:left w:val="single" w:sz="4" w:space="0" w:color="auto"/>
              <w:bottom w:val="single" w:sz="4" w:space="0" w:color="auto"/>
              <w:right w:val="single" w:sz="4" w:space="0" w:color="auto"/>
            </w:tcBorders>
            <w:vAlign w:val="center"/>
          </w:tcPr>
          <w:p w14:paraId="52C6A2E0"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41</w:t>
            </w:r>
          </w:p>
        </w:tc>
        <w:tc>
          <w:tcPr>
            <w:tcW w:w="733" w:type="dxa"/>
            <w:tcBorders>
              <w:top w:val="single" w:sz="4" w:space="0" w:color="auto"/>
              <w:left w:val="single" w:sz="4" w:space="0" w:color="auto"/>
              <w:bottom w:val="single" w:sz="4" w:space="0" w:color="auto"/>
              <w:right w:val="single" w:sz="4" w:space="0" w:color="auto"/>
            </w:tcBorders>
            <w:vAlign w:val="center"/>
          </w:tcPr>
          <w:p w14:paraId="2963539A"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本科</w:t>
            </w:r>
          </w:p>
        </w:tc>
        <w:tc>
          <w:tcPr>
            <w:tcW w:w="1466" w:type="dxa"/>
            <w:tcBorders>
              <w:top w:val="single" w:sz="4" w:space="0" w:color="auto"/>
              <w:left w:val="single" w:sz="4" w:space="0" w:color="auto"/>
              <w:bottom w:val="single" w:sz="4" w:space="0" w:color="auto"/>
              <w:right w:val="single" w:sz="4" w:space="0" w:color="auto"/>
            </w:tcBorders>
            <w:vAlign w:val="center"/>
          </w:tcPr>
          <w:p w14:paraId="628B07D2" w14:textId="77777777" w:rsidR="003C51F6" w:rsidRDefault="00000000">
            <w:pPr>
              <w:widowControl/>
              <w:jc w:val="center"/>
              <w:textAlignment w:val="center"/>
            </w:pPr>
            <w:r>
              <w:rPr>
                <w:rFonts w:ascii="仿宋" w:eastAsia="仿宋" w:hAnsi="仿宋" w:cs="仿宋" w:hint="eastAsia"/>
                <w:color w:val="000000"/>
                <w:sz w:val="18"/>
                <w:szCs w:val="18"/>
                <w:lang w:bidi="ar"/>
              </w:rPr>
              <w:t>江西景德镇陶瓷学院/会计学专业</w:t>
            </w:r>
          </w:p>
        </w:tc>
        <w:tc>
          <w:tcPr>
            <w:tcW w:w="982" w:type="dxa"/>
            <w:tcBorders>
              <w:top w:val="single" w:sz="4" w:space="0" w:color="auto"/>
              <w:left w:val="single" w:sz="4" w:space="0" w:color="auto"/>
              <w:bottom w:val="single" w:sz="4" w:space="0" w:color="auto"/>
              <w:right w:val="single" w:sz="4" w:space="0" w:color="auto"/>
            </w:tcBorders>
            <w:vAlign w:val="center"/>
          </w:tcPr>
          <w:p w14:paraId="0AB7EB1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2006年</w:t>
            </w:r>
          </w:p>
        </w:tc>
        <w:tc>
          <w:tcPr>
            <w:tcW w:w="750" w:type="dxa"/>
            <w:tcBorders>
              <w:top w:val="single" w:sz="4" w:space="0" w:color="auto"/>
              <w:left w:val="single" w:sz="4" w:space="0" w:color="auto"/>
              <w:bottom w:val="single" w:sz="4" w:space="0" w:color="auto"/>
              <w:right w:val="single" w:sz="4" w:space="0" w:color="auto"/>
            </w:tcBorders>
            <w:vAlign w:val="center"/>
          </w:tcPr>
          <w:p w14:paraId="4CC1B49B"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18年</w:t>
            </w:r>
          </w:p>
        </w:tc>
        <w:tc>
          <w:tcPr>
            <w:tcW w:w="1214" w:type="dxa"/>
            <w:tcBorders>
              <w:top w:val="single" w:sz="4" w:space="0" w:color="auto"/>
              <w:left w:val="single" w:sz="4" w:space="0" w:color="auto"/>
              <w:bottom w:val="single" w:sz="4" w:space="0" w:color="auto"/>
              <w:right w:val="single" w:sz="4" w:space="0" w:color="auto"/>
            </w:tcBorders>
            <w:vAlign w:val="center"/>
          </w:tcPr>
          <w:p w14:paraId="3E3A7873"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注册会计师</w:t>
            </w:r>
          </w:p>
          <w:p w14:paraId="642B9AF5"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注册税务师</w:t>
            </w:r>
          </w:p>
          <w:p w14:paraId="77E49845" w14:textId="77777777" w:rsidR="003C51F6" w:rsidRDefault="00000000">
            <w:pPr>
              <w:widowControl/>
              <w:jc w:val="center"/>
              <w:textAlignment w:val="center"/>
            </w:pPr>
            <w:r>
              <w:rPr>
                <w:rFonts w:ascii="仿宋" w:eastAsia="仿宋" w:hAnsi="仿宋" w:cs="仿宋" w:hint="eastAsia"/>
                <w:color w:val="000000"/>
                <w:sz w:val="18"/>
                <w:szCs w:val="18"/>
                <w:lang w:bidi="ar"/>
              </w:rPr>
              <w:t>中级会计师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17B28528" w14:textId="77777777" w:rsidR="003C51F6" w:rsidRDefault="00000000">
            <w:pPr>
              <w:widowControl/>
              <w:jc w:val="left"/>
              <w:rPr>
                <w:rFonts w:ascii="宋体" w:hAnsi="宋体" w:cs="宋体" w:hint="eastAsia"/>
                <w:color w:val="000000"/>
                <w:sz w:val="16"/>
                <w:szCs w:val="16"/>
                <w:lang w:bidi="ar"/>
              </w:rPr>
            </w:pPr>
            <w:r>
              <w:rPr>
                <w:rFonts w:ascii="宋体" w:hAnsi="宋体" w:cs="宋体" w:hint="eastAsia"/>
                <w:color w:val="000000"/>
                <w:sz w:val="16"/>
                <w:szCs w:val="16"/>
                <w:lang w:bidi="ar"/>
              </w:rPr>
              <w:t>450100310006</w:t>
            </w:r>
          </w:p>
        </w:tc>
      </w:tr>
      <w:tr w:rsidR="003C51F6" w14:paraId="3C5ECB09" w14:textId="77777777">
        <w:trPr>
          <w:cantSplit/>
          <w:trHeight w:val="936"/>
          <w:tblHeader/>
        </w:trPr>
        <w:tc>
          <w:tcPr>
            <w:tcW w:w="457" w:type="dxa"/>
            <w:tcBorders>
              <w:top w:val="single" w:sz="4" w:space="0" w:color="auto"/>
              <w:left w:val="single" w:sz="4" w:space="0" w:color="auto"/>
              <w:bottom w:val="single" w:sz="4" w:space="0" w:color="auto"/>
              <w:right w:val="single" w:sz="4" w:space="0" w:color="auto"/>
            </w:tcBorders>
            <w:vAlign w:val="center"/>
          </w:tcPr>
          <w:p w14:paraId="5B2623CF"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3</w:t>
            </w:r>
          </w:p>
        </w:tc>
        <w:tc>
          <w:tcPr>
            <w:tcW w:w="903" w:type="dxa"/>
            <w:tcBorders>
              <w:top w:val="single" w:sz="4" w:space="0" w:color="auto"/>
              <w:left w:val="single" w:sz="4" w:space="0" w:color="auto"/>
              <w:bottom w:val="single" w:sz="4" w:space="0" w:color="auto"/>
              <w:right w:val="single" w:sz="4" w:space="0" w:color="auto"/>
            </w:tcBorders>
            <w:vAlign w:val="center"/>
          </w:tcPr>
          <w:p w14:paraId="6138A493"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550E7637"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梁巧逸</w:t>
            </w:r>
          </w:p>
        </w:tc>
        <w:tc>
          <w:tcPr>
            <w:tcW w:w="531" w:type="dxa"/>
            <w:tcBorders>
              <w:top w:val="single" w:sz="4" w:space="0" w:color="auto"/>
              <w:left w:val="single" w:sz="4" w:space="0" w:color="auto"/>
              <w:bottom w:val="single" w:sz="4" w:space="0" w:color="auto"/>
              <w:right w:val="single" w:sz="4" w:space="0" w:color="auto"/>
            </w:tcBorders>
            <w:vAlign w:val="center"/>
          </w:tcPr>
          <w:p w14:paraId="26D9FB8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女</w:t>
            </w:r>
          </w:p>
        </w:tc>
        <w:tc>
          <w:tcPr>
            <w:tcW w:w="579" w:type="dxa"/>
            <w:tcBorders>
              <w:top w:val="single" w:sz="4" w:space="0" w:color="auto"/>
              <w:left w:val="single" w:sz="4" w:space="0" w:color="auto"/>
              <w:bottom w:val="single" w:sz="4" w:space="0" w:color="auto"/>
              <w:right w:val="single" w:sz="4" w:space="0" w:color="auto"/>
            </w:tcBorders>
            <w:vAlign w:val="center"/>
          </w:tcPr>
          <w:p w14:paraId="1392C123"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30</w:t>
            </w:r>
          </w:p>
        </w:tc>
        <w:tc>
          <w:tcPr>
            <w:tcW w:w="733" w:type="dxa"/>
            <w:tcBorders>
              <w:top w:val="single" w:sz="4" w:space="0" w:color="auto"/>
              <w:left w:val="single" w:sz="4" w:space="0" w:color="auto"/>
              <w:bottom w:val="single" w:sz="4" w:space="0" w:color="auto"/>
              <w:right w:val="single" w:sz="4" w:space="0" w:color="auto"/>
            </w:tcBorders>
            <w:vAlign w:val="center"/>
          </w:tcPr>
          <w:p w14:paraId="0008087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本科</w:t>
            </w:r>
          </w:p>
        </w:tc>
        <w:tc>
          <w:tcPr>
            <w:tcW w:w="1466" w:type="dxa"/>
            <w:tcBorders>
              <w:top w:val="single" w:sz="4" w:space="0" w:color="auto"/>
              <w:left w:val="single" w:sz="4" w:space="0" w:color="auto"/>
              <w:bottom w:val="single" w:sz="4" w:space="0" w:color="auto"/>
              <w:right w:val="single" w:sz="4" w:space="0" w:color="auto"/>
            </w:tcBorders>
            <w:vAlign w:val="center"/>
          </w:tcPr>
          <w:p w14:paraId="4F38E81D"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广西财经学院会计学专业</w:t>
            </w:r>
          </w:p>
        </w:tc>
        <w:tc>
          <w:tcPr>
            <w:tcW w:w="982" w:type="dxa"/>
            <w:tcBorders>
              <w:top w:val="single" w:sz="4" w:space="0" w:color="auto"/>
              <w:left w:val="single" w:sz="4" w:space="0" w:color="auto"/>
              <w:bottom w:val="single" w:sz="4" w:space="0" w:color="auto"/>
              <w:right w:val="single" w:sz="4" w:space="0" w:color="auto"/>
            </w:tcBorders>
            <w:vAlign w:val="center"/>
          </w:tcPr>
          <w:p w14:paraId="552D6D30"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2017年</w:t>
            </w:r>
          </w:p>
        </w:tc>
        <w:tc>
          <w:tcPr>
            <w:tcW w:w="750" w:type="dxa"/>
            <w:tcBorders>
              <w:top w:val="single" w:sz="4" w:space="0" w:color="auto"/>
              <w:left w:val="single" w:sz="4" w:space="0" w:color="auto"/>
              <w:bottom w:val="single" w:sz="4" w:space="0" w:color="auto"/>
              <w:right w:val="single" w:sz="4" w:space="0" w:color="auto"/>
            </w:tcBorders>
            <w:vAlign w:val="center"/>
          </w:tcPr>
          <w:p w14:paraId="4AC2AAF2"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8年</w:t>
            </w:r>
          </w:p>
        </w:tc>
        <w:tc>
          <w:tcPr>
            <w:tcW w:w="1214" w:type="dxa"/>
            <w:tcBorders>
              <w:top w:val="single" w:sz="4" w:space="0" w:color="auto"/>
              <w:left w:val="single" w:sz="4" w:space="0" w:color="auto"/>
              <w:bottom w:val="single" w:sz="4" w:space="0" w:color="auto"/>
              <w:right w:val="single" w:sz="4" w:space="0" w:color="auto"/>
            </w:tcBorders>
            <w:vAlign w:val="center"/>
          </w:tcPr>
          <w:p w14:paraId="2924DDF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注册会计师</w:t>
            </w:r>
          </w:p>
        </w:tc>
        <w:tc>
          <w:tcPr>
            <w:tcW w:w="1364" w:type="dxa"/>
            <w:tcBorders>
              <w:top w:val="single" w:sz="4" w:space="0" w:color="auto"/>
              <w:left w:val="single" w:sz="4" w:space="0" w:color="auto"/>
              <w:bottom w:val="single" w:sz="4" w:space="0" w:color="auto"/>
              <w:right w:val="single" w:sz="4" w:space="0" w:color="auto"/>
            </w:tcBorders>
            <w:vAlign w:val="center"/>
          </w:tcPr>
          <w:p w14:paraId="0663C3E5"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450100440045</w:t>
            </w:r>
          </w:p>
        </w:tc>
      </w:tr>
      <w:tr w:rsidR="003C51F6" w14:paraId="398C8DB7" w14:textId="77777777">
        <w:trPr>
          <w:cantSplit/>
          <w:trHeight w:val="648"/>
          <w:tblHeader/>
        </w:trPr>
        <w:tc>
          <w:tcPr>
            <w:tcW w:w="457" w:type="dxa"/>
            <w:tcBorders>
              <w:top w:val="single" w:sz="4" w:space="0" w:color="auto"/>
              <w:left w:val="single" w:sz="4" w:space="0" w:color="auto"/>
              <w:bottom w:val="single" w:sz="4" w:space="0" w:color="auto"/>
              <w:right w:val="single" w:sz="4" w:space="0" w:color="auto"/>
            </w:tcBorders>
            <w:vAlign w:val="center"/>
          </w:tcPr>
          <w:p w14:paraId="1B9FDD8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4</w:t>
            </w:r>
          </w:p>
        </w:tc>
        <w:tc>
          <w:tcPr>
            <w:tcW w:w="903" w:type="dxa"/>
            <w:tcBorders>
              <w:top w:val="single" w:sz="4" w:space="0" w:color="auto"/>
              <w:left w:val="single" w:sz="4" w:space="0" w:color="auto"/>
              <w:bottom w:val="single" w:sz="4" w:space="0" w:color="auto"/>
              <w:right w:val="single" w:sz="4" w:space="0" w:color="auto"/>
            </w:tcBorders>
            <w:vAlign w:val="center"/>
          </w:tcPr>
          <w:p w14:paraId="5F017168"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556890ED"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黄航航</w:t>
            </w:r>
          </w:p>
        </w:tc>
        <w:tc>
          <w:tcPr>
            <w:tcW w:w="531" w:type="dxa"/>
            <w:tcBorders>
              <w:top w:val="single" w:sz="4" w:space="0" w:color="auto"/>
              <w:left w:val="single" w:sz="4" w:space="0" w:color="auto"/>
              <w:bottom w:val="single" w:sz="4" w:space="0" w:color="auto"/>
              <w:right w:val="single" w:sz="4" w:space="0" w:color="auto"/>
            </w:tcBorders>
            <w:vAlign w:val="center"/>
          </w:tcPr>
          <w:p w14:paraId="278CAE63"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女</w:t>
            </w:r>
          </w:p>
        </w:tc>
        <w:tc>
          <w:tcPr>
            <w:tcW w:w="579" w:type="dxa"/>
            <w:tcBorders>
              <w:top w:val="single" w:sz="4" w:space="0" w:color="auto"/>
              <w:left w:val="single" w:sz="4" w:space="0" w:color="auto"/>
              <w:bottom w:val="single" w:sz="4" w:space="0" w:color="auto"/>
              <w:right w:val="single" w:sz="4" w:space="0" w:color="auto"/>
            </w:tcBorders>
            <w:vAlign w:val="center"/>
          </w:tcPr>
          <w:p w14:paraId="5B0AE11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45</w:t>
            </w:r>
          </w:p>
        </w:tc>
        <w:tc>
          <w:tcPr>
            <w:tcW w:w="733" w:type="dxa"/>
            <w:tcBorders>
              <w:top w:val="single" w:sz="4" w:space="0" w:color="auto"/>
              <w:left w:val="single" w:sz="4" w:space="0" w:color="auto"/>
              <w:bottom w:val="single" w:sz="4" w:space="0" w:color="auto"/>
              <w:right w:val="single" w:sz="4" w:space="0" w:color="auto"/>
            </w:tcBorders>
            <w:vAlign w:val="center"/>
          </w:tcPr>
          <w:p w14:paraId="4B69C9A8"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专科</w:t>
            </w:r>
          </w:p>
        </w:tc>
        <w:tc>
          <w:tcPr>
            <w:tcW w:w="1466" w:type="dxa"/>
            <w:tcBorders>
              <w:top w:val="single" w:sz="4" w:space="0" w:color="auto"/>
              <w:left w:val="single" w:sz="4" w:space="0" w:color="auto"/>
              <w:bottom w:val="single" w:sz="4" w:space="0" w:color="auto"/>
              <w:right w:val="single" w:sz="4" w:space="0" w:color="auto"/>
            </w:tcBorders>
            <w:vAlign w:val="center"/>
          </w:tcPr>
          <w:p w14:paraId="346A0281"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西南大学</w:t>
            </w:r>
          </w:p>
          <w:p w14:paraId="61EEEBD9"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会计专业</w:t>
            </w:r>
          </w:p>
        </w:tc>
        <w:tc>
          <w:tcPr>
            <w:tcW w:w="982" w:type="dxa"/>
            <w:tcBorders>
              <w:top w:val="single" w:sz="4" w:space="0" w:color="auto"/>
              <w:left w:val="single" w:sz="4" w:space="0" w:color="auto"/>
              <w:bottom w:val="single" w:sz="4" w:space="0" w:color="auto"/>
              <w:right w:val="single" w:sz="4" w:space="0" w:color="auto"/>
            </w:tcBorders>
            <w:vAlign w:val="center"/>
          </w:tcPr>
          <w:p w14:paraId="25DACDA2"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2013年</w:t>
            </w:r>
          </w:p>
        </w:tc>
        <w:tc>
          <w:tcPr>
            <w:tcW w:w="750" w:type="dxa"/>
            <w:tcBorders>
              <w:top w:val="single" w:sz="4" w:space="0" w:color="auto"/>
              <w:left w:val="single" w:sz="4" w:space="0" w:color="auto"/>
              <w:bottom w:val="single" w:sz="4" w:space="0" w:color="auto"/>
              <w:right w:val="single" w:sz="4" w:space="0" w:color="auto"/>
            </w:tcBorders>
            <w:vAlign w:val="center"/>
          </w:tcPr>
          <w:p w14:paraId="560F859C"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2年</w:t>
            </w:r>
          </w:p>
        </w:tc>
        <w:tc>
          <w:tcPr>
            <w:tcW w:w="1214" w:type="dxa"/>
            <w:tcBorders>
              <w:top w:val="single" w:sz="4" w:space="0" w:color="auto"/>
              <w:left w:val="single" w:sz="4" w:space="0" w:color="auto"/>
              <w:bottom w:val="single" w:sz="4" w:space="0" w:color="auto"/>
              <w:right w:val="single" w:sz="4" w:space="0" w:color="auto"/>
            </w:tcBorders>
            <w:vAlign w:val="center"/>
          </w:tcPr>
          <w:p w14:paraId="2C858FA2"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注册会计师中级会计师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1AE40B27"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11730015600242</w:t>
            </w:r>
          </w:p>
        </w:tc>
      </w:tr>
      <w:tr w:rsidR="003C51F6" w14:paraId="10444E5A" w14:textId="77777777">
        <w:trPr>
          <w:cantSplit/>
          <w:trHeight w:val="631"/>
          <w:tblHeader/>
        </w:trPr>
        <w:tc>
          <w:tcPr>
            <w:tcW w:w="457" w:type="dxa"/>
            <w:tcBorders>
              <w:top w:val="single" w:sz="4" w:space="0" w:color="auto"/>
              <w:left w:val="single" w:sz="4" w:space="0" w:color="auto"/>
              <w:bottom w:val="single" w:sz="4" w:space="0" w:color="auto"/>
              <w:right w:val="single" w:sz="4" w:space="0" w:color="auto"/>
            </w:tcBorders>
            <w:vAlign w:val="center"/>
          </w:tcPr>
          <w:p w14:paraId="6025884F"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5</w:t>
            </w:r>
          </w:p>
        </w:tc>
        <w:tc>
          <w:tcPr>
            <w:tcW w:w="903" w:type="dxa"/>
            <w:tcBorders>
              <w:top w:val="single" w:sz="4" w:space="0" w:color="auto"/>
              <w:left w:val="single" w:sz="4" w:space="0" w:color="auto"/>
              <w:bottom w:val="single" w:sz="4" w:space="0" w:color="auto"/>
              <w:right w:val="single" w:sz="4" w:space="0" w:color="auto"/>
            </w:tcBorders>
            <w:vAlign w:val="center"/>
          </w:tcPr>
          <w:p w14:paraId="1AEB2EF2"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4B74B123"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李娥</w:t>
            </w:r>
          </w:p>
        </w:tc>
        <w:tc>
          <w:tcPr>
            <w:tcW w:w="531" w:type="dxa"/>
            <w:tcBorders>
              <w:top w:val="single" w:sz="4" w:space="0" w:color="auto"/>
              <w:left w:val="single" w:sz="4" w:space="0" w:color="auto"/>
              <w:bottom w:val="single" w:sz="4" w:space="0" w:color="auto"/>
              <w:right w:val="single" w:sz="4" w:space="0" w:color="auto"/>
            </w:tcBorders>
            <w:vAlign w:val="center"/>
          </w:tcPr>
          <w:p w14:paraId="56BC6088"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 xml:space="preserve">女 </w:t>
            </w:r>
          </w:p>
        </w:tc>
        <w:tc>
          <w:tcPr>
            <w:tcW w:w="579" w:type="dxa"/>
            <w:tcBorders>
              <w:top w:val="single" w:sz="4" w:space="0" w:color="auto"/>
              <w:left w:val="single" w:sz="4" w:space="0" w:color="auto"/>
              <w:bottom w:val="single" w:sz="4" w:space="0" w:color="auto"/>
              <w:right w:val="single" w:sz="4" w:space="0" w:color="auto"/>
            </w:tcBorders>
            <w:vAlign w:val="center"/>
          </w:tcPr>
          <w:p w14:paraId="13D032ED"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39</w:t>
            </w:r>
          </w:p>
        </w:tc>
        <w:tc>
          <w:tcPr>
            <w:tcW w:w="733" w:type="dxa"/>
            <w:tcBorders>
              <w:top w:val="single" w:sz="4" w:space="0" w:color="auto"/>
              <w:left w:val="single" w:sz="4" w:space="0" w:color="auto"/>
              <w:bottom w:val="single" w:sz="4" w:space="0" w:color="auto"/>
              <w:right w:val="single" w:sz="4" w:space="0" w:color="auto"/>
            </w:tcBorders>
            <w:vAlign w:val="center"/>
          </w:tcPr>
          <w:p w14:paraId="353E68B1"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大学</w:t>
            </w:r>
          </w:p>
        </w:tc>
        <w:tc>
          <w:tcPr>
            <w:tcW w:w="1466" w:type="dxa"/>
            <w:tcBorders>
              <w:top w:val="single" w:sz="4" w:space="0" w:color="auto"/>
              <w:left w:val="single" w:sz="4" w:space="0" w:color="auto"/>
              <w:bottom w:val="single" w:sz="4" w:space="0" w:color="auto"/>
              <w:right w:val="single" w:sz="4" w:space="0" w:color="auto"/>
            </w:tcBorders>
            <w:vAlign w:val="center"/>
          </w:tcPr>
          <w:p w14:paraId="364329CA"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广西大学会计专业</w:t>
            </w:r>
          </w:p>
        </w:tc>
        <w:tc>
          <w:tcPr>
            <w:tcW w:w="982" w:type="dxa"/>
            <w:tcBorders>
              <w:top w:val="single" w:sz="4" w:space="0" w:color="auto"/>
              <w:left w:val="single" w:sz="4" w:space="0" w:color="auto"/>
              <w:bottom w:val="single" w:sz="4" w:space="0" w:color="auto"/>
              <w:right w:val="single" w:sz="4" w:space="0" w:color="auto"/>
            </w:tcBorders>
            <w:vAlign w:val="center"/>
          </w:tcPr>
          <w:p w14:paraId="49A6FBE8"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2017年</w:t>
            </w:r>
          </w:p>
        </w:tc>
        <w:tc>
          <w:tcPr>
            <w:tcW w:w="750" w:type="dxa"/>
            <w:tcBorders>
              <w:top w:val="single" w:sz="4" w:space="0" w:color="auto"/>
              <w:left w:val="single" w:sz="4" w:space="0" w:color="auto"/>
              <w:bottom w:val="single" w:sz="4" w:space="0" w:color="auto"/>
              <w:right w:val="single" w:sz="4" w:space="0" w:color="auto"/>
            </w:tcBorders>
            <w:vAlign w:val="center"/>
          </w:tcPr>
          <w:p w14:paraId="261ABEBC"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10年</w:t>
            </w:r>
          </w:p>
        </w:tc>
        <w:tc>
          <w:tcPr>
            <w:tcW w:w="1214" w:type="dxa"/>
            <w:tcBorders>
              <w:top w:val="single" w:sz="4" w:space="0" w:color="auto"/>
              <w:left w:val="single" w:sz="4" w:space="0" w:color="auto"/>
              <w:bottom w:val="single" w:sz="4" w:space="0" w:color="auto"/>
              <w:right w:val="single" w:sz="4" w:space="0" w:color="auto"/>
            </w:tcBorders>
            <w:vAlign w:val="center"/>
          </w:tcPr>
          <w:p w14:paraId="6B1408C3" w14:textId="77777777" w:rsidR="003C51F6" w:rsidRDefault="00000000">
            <w:pPr>
              <w:widowControl/>
              <w:jc w:val="center"/>
              <w:textAlignment w:val="center"/>
              <w:rPr>
                <w:rFonts w:ascii="仿宋" w:eastAsia="仿宋" w:hAnsi="仿宋" w:cs="仿宋" w:hint="eastAsia"/>
                <w:color w:val="000000"/>
                <w:sz w:val="18"/>
                <w:szCs w:val="18"/>
                <w:lang w:bidi="ar"/>
              </w:rPr>
            </w:pPr>
            <w:r>
              <w:rPr>
                <w:rFonts w:ascii="仿宋" w:eastAsia="仿宋" w:hAnsi="仿宋" w:cs="仿宋" w:hint="eastAsia"/>
                <w:color w:val="000000"/>
                <w:sz w:val="18"/>
                <w:szCs w:val="18"/>
                <w:lang w:bidi="ar"/>
              </w:rPr>
              <w:t>初级会计师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7AA11234"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31702220845015120451</w:t>
            </w:r>
          </w:p>
        </w:tc>
      </w:tr>
      <w:tr w:rsidR="003C51F6" w14:paraId="7E891106" w14:textId="77777777">
        <w:trPr>
          <w:cantSplit/>
          <w:trHeight w:val="598"/>
          <w:tblHeader/>
        </w:trPr>
        <w:tc>
          <w:tcPr>
            <w:tcW w:w="457" w:type="dxa"/>
            <w:tcBorders>
              <w:top w:val="single" w:sz="4" w:space="0" w:color="auto"/>
              <w:left w:val="single" w:sz="4" w:space="0" w:color="auto"/>
              <w:bottom w:val="single" w:sz="4" w:space="0" w:color="auto"/>
              <w:right w:val="single" w:sz="4" w:space="0" w:color="auto"/>
            </w:tcBorders>
            <w:vAlign w:val="center"/>
          </w:tcPr>
          <w:p w14:paraId="277E971B"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6</w:t>
            </w:r>
          </w:p>
        </w:tc>
        <w:tc>
          <w:tcPr>
            <w:tcW w:w="903" w:type="dxa"/>
            <w:tcBorders>
              <w:top w:val="single" w:sz="4" w:space="0" w:color="auto"/>
              <w:left w:val="single" w:sz="4" w:space="0" w:color="auto"/>
              <w:bottom w:val="single" w:sz="4" w:space="0" w:color="auto"/>
              <w:right w:val="single" w:sz="4" w:space="0" w:color="auto"/>
            </w:tcBorders>
            <w:vAlign w:val="center"/>
          </w:tcPr>
          <w:p w14:paraId="3E77BA6E"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1237DCB7"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颜烨烨</w:t>
            </w:r>
          </w:p>
        </w:tc>
        <w:tc>
          <w:tcPr>
            <w:tcW w:w="531" w:type="dxa"/>
            <w:tcBorders>
              <w:top w:val="single" w:sz="4" w:space="0" w:color="auto"/>
              <w:left w:val="single" w:sz="4" w:space="0" w:color="auto"/>
              <w:bottom w:val="single" w:sz="4" w:space="0" w:color="auto"/>
              <w:right w:val="single" w:sz="4" w:space="0" w:color="auto"/>
            </w:tcBorders>
            <w:vAlign w:val="center"/>
          </w:tcPr>
          <w:p w14:paraId="041B084A"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女</w:t>
            </w:r>
          </w:p>
        </w:tc>
        <w:tc>
          <w:tcPr>
            <w:tcW w:w="579" w:type="dxa"/>
            <w:tcBorders>
              <w:top w:val="single" w:sz="4" w:space="0" w:color="auto"/>
              <w:left w:val="single" w:sz="4" w:space="0" w:color="auto"/>
              <w:bottom w:val="single" w:sz="4" w:space="0" w:color="auto"/>
              <w:right w:val="single" w:sz="4" w:space="0" w:color="auto"/>
            </w:tcBorders>
            <w:vAlign w:val="center"/>
          </w:tcPr>
          <w:p w14:paraId="1C19AE0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30</w:t>
            </w:r>
          </w:p>
        </w:tc>
        <w:tc>
          <w:tcPr>
            <w:tcW w:w="733" w:type="dxa"/>
            <w:tcBorders>
              <w:top w:val="single" w:sz="4" w:space="0" w:color="auto"/>
              <w:left w:val="single" w:sz="4" w:space="0" w:color="auto"/>
              <w:bottom w:val="single" w:sz="4" w:space="0" w:color="auto"/>
              <w:right w:val="single" w:sz="4" w:space="0" w:color="auto"/>
            </w:tcBorders>
            <w:vAlign w:val="center"/>
          </w:tcPr>
          <w:p w14:paraId="20358C99"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本科</w:t>
            </w:r>
          </w:p>
        </w:tc>
        <w:tc>
          <w:tcPr>
            <w:tcW w:w="1466" w:type="dxa"/>
            <w:tcBorders>
              <w:top w:val="single" w:sz="4" w:space="0" w:color="auto"/>
              <w:left w:val="single" w:sz="4" w:space="0" w:color="auto"/>
              <w:bottom w:val="single" w:sz="4" w:space="0" w:color="auto"/>
              <w:right w:val="single" w:sz="4" w:space="0" w:color="auto"/>
            </w:tcBorders>
            <w:vAlign w:val="center"/>
          </w:tcPr>
          <w:p w14:paraId="415F8573"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广西大学行健文理学院 审计学专业</w:t>
            </w:r>
          </w:p>
        </w:tc>
        <w:tc>
          <w:tcPr>
            <w:tcW w:w="982" w:type="dxa"/>
            <w:tcBorders>
              <w:top w:val="single" w:sz="4" w:space="0" w:color="auto"/>
              <w:left w:val="single" w:sz="4" w:space="0" w:color="auto"/>
              <w:bottom w:val="single" w:sz="4" w:space="0" w:color="auto"/>
              <w:right w:val="single" w:sz="4" w:space="0" w:color="auto"/>
            </w:tcBorders>
            <w:vAlign w:val="center"/>
          </w:tcPr>
          <w:p w14:paraId="088F6BA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2017年</w:t>
            </w:r>
          </w:p>
        </w:tc>
        <w:tc>
          <w:tcPr>
            <w:tcW w:w="750" w:type="dxa"/>
            <w:tcBorders>
              <w:top w:val="single" w:sz="4" w:space="0" w:color="auto"/>
              <w:left w:val="single" w:sz="4" w:space="0" w:color="auto"/>
              <w:bottom w:val="single" w:sz="4" w:space="0" w:color="auto"/>
              <w:right w:val="single" w:sz="4" w:space="0" w:color="auto"/>
            </w:tcBorders>
            <w:vAlign w:val="center"/>
          </w:tcPr>
          <w:p w14:paraId="01212469"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7年</w:t>
            </w:r>
          </w:p>
        </w:tc>
        <w:tc>
          <w:tcPr>
            <w:tcW w:w="1214" w:type="dxa"/>
            <w:tcBorders>
              <w:top w:val="single" w:sz="4" w:space="0" w:color="auto"/>
              <w:left w:val="single" w:sz="4" w:space="0" w:color="auto"/>
              <w:bottom w:val="single" w:sz="4" w:space="0" w:color="auto"/>
              <w:right w:val="single" w:sz="4" w:space="0" w:color="auto"/>
            </w:tcBorders>
            <w:vAlign w:val="center"/>
          </w:tcPr>
          <w:p w14:paraId="6F7E7B9A"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初级会计师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6258AA45"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21730005104045</w:t>
            </w:r>
          </w:p>
        </w:tc>
      </w:tr>
      <w:tr w:rsidR="003C51F6" w14:paraId="0CC06691" w14:textId="77777777">
        <w:trPr>
          <w:cantSplit/>
          <w:trHeight w:val="586"/>
          <w:tblHeader/>
        </w:trPr>
        <w:tc>
          <w:tcPr>
            <w:tcW w:w="457" w:type="dxa"/>
            <w:tcBorders>
              <w:top w:val="single" w:sz="4" w:space="0" w:color="auto"/>
              <w:left w:val="single" w:sz="4" w:space="0" w:color="auto"/>
              <w:bottom w:val="single" w:sz="4" w:space="0" w:color="auto"/>
              <w:right w:val="single" w:sz="4" w:space="0" w:color="auto"/>
            </w:tcBorders>
            <w:vAlign w:val="center"/>
          </w:tcPr>
          <w:p w14:paraId="6B5F0BF6"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7</w:t>
            </w:r>
          </w:p>
        </w:tc>
        <w:tc>
          <w:tcPr>
            <w:tcW w:w="903" w:type="dxa"/>
            <w:tcBorders>
              <w:top w:val="single" w:sz="4" w:space="0" w:color="auto"/>
              <w:left w:val="single" w:sz="4" w:space="0" w:color="auto"/>
              <w:bottom w:val="single" w:sz="4" w:space="0" w:color="auto"/>
              <w:right w:val="single" w:sz="4" w:space="0" w:color="auto"/>
            </w:tcBorders>
            <w:vAlign w:val="center"/>
          </w:tcPr>
          <w:p w14:paraId="385AD51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0FAD2BB9"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王丽颜</w:t>
            </w:r>
          </w:p>
        </w:tc>
        <w:tc>
          <w:tcPr>
            <w:tcW w:w="531" w:type="dxa"/>
            <w:tcBorders>
              <w:top w:val="single" w:sz="4" w:space="0" w:color="auto"/>
              <w:left w:val="single" w:sz="4" w:space="0" w:color="auto"/>
              <w:bottom w:val="single" w:sz="4" w:space="0" w:color="auto"/>
              <w:right w:val="single" w:sz="4" w:space="0" w:color="auto"/>
            </w:tcBorders>
            <w:vAlign w:val="center"/>
          </w:tcPr>
          <w:p w14:paraId="0173085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女</w:t>
            </w:r>
          </w:p>
        </w:tc>
        <w:tc>
          <w:tcPr>
            <w:tcW w:w="579" w:type="dxa"/>
            <w:tcBorders>
              <w:top w:val="single" w:sz="4" w:space="0" w:color="auto"/>
              <w:left w:val="single" w:sz="4" w:space="0" w:color="auto"/>
              <w:bottom w:val="single" w:sz="4" w:space="0" w:color="auto"/>
              <w:right w:val="single" w:sz="4" w:space="0" w:color="auto"/>
            </w:tcBorders>
            <w:vAlign w:val="center"/>
          </w:tcPr>
          <w:p w14:paraId="3512B01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26</w:t>
            </w:r>
          </w:p>
        </w:tc>
        <w:tc>
          <w:tcPr>
            <w:tcW w:w="733" w:type="dxa"/>
            <w:tcBorders>
              <w:top w:val="single" w:sz="4" w:space="0" w:color="auto"/>
              <w:left w:val="single" w:sz="4" w:space="0" w:color="auto"/>
              <w:bottom w:val="single" w:sz="4" w:space="0" w:color="auto"/>
              <w:right w:val="single" w:sz="4" w:space="0" w:color="auto"/>
            </w:tcBorders>
            <w:vAlign w:val="center"/>
          </w:tcPr>
          <w:p w14:paraId="28F94F33"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本科</w:t>
            </w:r>
          </w:p>
        </w:tc>
        <w:tc>
          <w:tcPr>
            <w:tcW w:w="1466" w:type="dxa"/>
            <w:tcBorders>
              <w:top w:val="single" w:sz="4" w:space="0" w:color="auto"/>
              <w:left w:val="single" w:sz="4" w:space="0" w:color="auto"/>
              <w:bottom w:val="single" w:sz="4" w:space="0" w:color="auto"/>
              <w:right w:val="single" w:sz="4" w:space="0" w:color="auto"/>
            </w:tcBorders>
            <w:vAlign w:val="center"/>
          </w:tcPr>
          <w:p w14:paraId="7F60206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南宁师范大学师园学院市场营销专业</w:t>
            </w:r>
          </w:p>
        </w:tc>
        <w:tc>
          <w:tcPr>
            <w:tcW w:w="982" w:type="dxa"/>
            <w:tcBorders>
              <w:top w:val="single" w:sz="4" w:space="0" w:color="auto"/>
              <w:left w:val="single" w:sz="4" w:space="0" w:color="auto"/>
              <w:bottom w:val="single" w:sz="4" w:space="0" w:color="auto"/>
              <w:right w:val="single" w:sz="4" w:space="0" w:color="auto"/>
            </w:tcBorders>
            <w:vAlign w:val="center"/>
          </w:tcPr>
          <w:p w14:paraId="25C7A21D"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2020年</w:t>
            </w:r>
          </w:p>
        </w:tc>
        <w:tc>
          <w:tcPr>
            <w:tcW w:w="750" w:type="dxa"/>
            <w:tcBorders>
              <w:top w:val="single" w:sz="4" w:space="0" w:color="auto"/>
              <w:left w:val="single" w:sz="4" w:space="0" w:color="auto"/>
              <w:bottom w:val="single" w:sz="4" w:space="0" w:color="auto"/>
              <w:right w:val="single" w:sz="4" w:space="0" w:color="auto"/>
            </w:tcBorders>
            <w:vAlign w:val="center"/>
          </w:tcPr>
          <w:p w14:paraId="76A3057A"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4年</w:t>
            </w:r>
          </w:p>
        </w:tc>
        <w:tc>
          <w:tcPr>
            <w:tcW w:w="1214" w:type="dxa"/>
            <w:tcBorders>
              <w:top w:val="single" w:sz="4" w:space="0" w:color="auto"/>
              <w:left w:val="single" w:sz="4" w:space="0" w:color="auto"/>
              <w:bottom w:val="single" w:sz="4" w:space="0" w:color="auto"/>
              <w:right w:val="single" w:sz="4" w:space="0" w:color="auto"/>
            </w:tcBorders>
            <w:vAlign w:val="center"/>
          </w:tcPr>
          <w:p w14:paraId="67161C7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初级会计师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564E1675"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21930015128296</w:t>
            </w:r>
          </w:p>
        </w:tc>
      </w:tr>
      <w:tr w:rsidR="003C51F6" w14:paraId="12DFD7A1" w14:textId="77777777">
        <w:trPr>
          <w:cantSplit/>
          <w:trHeight w:val="659"/>
          <w:tblHeader/>
        </w:trPr>
        <w:tc>
          <w:tcPr>
            <w:tcW w:w="457" w:type="dxa"/>
            <w:tcBorders>
              <w:top w:val="single" w:sz="4" w:space="0" w:color="auto"/>
              <w:left w:val="single" w:sz="4" w:space="0" w:color="auto"/>
              <w:bottom w:val="single" w:sz="4" w:space="0" w:color="auto"/>
              <w:right w:val="single" w:sz="4" w:space="0" w:color="auto"/>
            </w:tcBorders>
            <w:vAlign w:val="center"/>
          </w:tcPr>
          <w:p w14:paraId="4C2B76E8"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8</w:t>
            </w:r>
          </w:p>
        </w:tc>
        <w:tc>
          <w:tcPr>
            <w:tcW w:w="903" w:type="dxa"/>
            <w:tcBorders>
              <w:top w:val="single" w:sz="4" w:space="0" w:color="auto"/>
              <w:left w:val="single" w:sz="4" w:space="0" w:color="auto"/>
              <w:bottom w:val="single" w:sz="4" w:space="0" w:color="auto"/>
              <w:right w:val="single" w:sz="4" w:space="0" w:color="auto"/>
            </w:tcBorders>
            <w:vAlign w:val="center"/>
          </w:tcPr>
          <w:p w14:paraId="3A7D7EE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组员</w:t>
            </w:r>
          </w:p>
        </w:tc>
        <w:tc>
          <w:tcPr>
            <w:tcW w:w="915" w:type="dxa"/>
            <w:tcBorders>
              <w:top w:val="single" w:sz="4" w:space="0" w:color="auto"/>
              <w:left w:val="single" w:sz="4" w:space="0" w:color="auto"/>
              <w:bottom w:val="single" w:sz="4" w:space="0" w:color="auto"/>
              <w:right w:val="single" w:sz="4" w:space="0" w:color="auto"/>
            </w:tcBorders>
            <w:vAlign w:val="center"/>
          </w:tcPr>
          <w:p w14:paraId="7B79DE25"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肖文俊</w:t>
            </w:r>
          </w:p>
        </w:tc>
        <w:tc>
          <w:tcPr>
            <w:tcW w:w="531" w:type="dxa"/>
            <w:tcBorders>
              <w:top w:val="single" w:sz="4" w:space="0" w:color="auto"/>
              <w:left w:val="single" w:sz="4" w:space="0" w:color="auto"/>
              <w:bottom w:val="single" w:sz="4" w:space="0" w:color="auto"/>
              <w:right w:val="single" w:sz="4" w:space="0" w:color="auto"/>
            </w:tcBorders>
            <w:vAlign w:val="center"/>
          </w:tcPr>
          <w:p w14:paraId="0D4C322C"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男</w:t>
            </w:r>
          </w:p>
        </w:tc>
        <w:tc>
          <w:tcPr>
            <w:tcW w:w="579" w:type="dxa"/>
            <w:tcBorders>
              <w:top w:val="single" w:sz="4" w:space="0" w:color="auto"/>
              <w:left w:val="single" w:sz="4" w:space="0" w:color="auto"/>
              <w:bottom w:val="single" w:sz="4" w:space="0" w:color="auto"/>
              <w:right w:val="single" w:sz="4" w:space="0" w:color="auto"/>
            </w:tcBorders>
            <w:vAlign w:val="center"/>
          </w:tcPr>
          <w:p w14:paraId="3F2D77DC"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sz w:val="18"/>
                <w:szCs w:val="18"/>
              </w:rPr>
              <w:t>24</w:t>
            </w:r>
          </w:p>
        </w:tc>
        <w:tc>
          <w:tcPr>
            <w:tcW w:w="733" w:type="dxa"/>
            <w:tcBorders>
              <w:top w:val="single" w:sz="4" w:space="0" w:color="auto"/>
              <w:left w:val="single" w:sz="4" w:space="0" w:color="auto"/>
              <w:bottom w:val="single" w:sz="4" w:space="0" w:color="auto"/>
              <w:right w:val="single" w:sz="4" w:space="0" w:color="auto"/>
            </w:tcBorders>
            <w:vAlign w:val="center"/>
          </w:tcPr>
          <w:p w14:paraId="4E5BFD66"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本科</w:t>
            </w:r>
          </w:p>
        </w:tc>
        <w:tc>
          <w:tcPr>
            <w:tcW w:w="1466" w:type="dxa"/>
            <w:tcBorders>
              <w:top w:val="single" w:sz="4" w:space="0" w:color="auto"/>
              <w:left w:val="single" w:sz="4" w:space="0" w:color="auto"/>
              <w:bottom w:val="single" w:sz="4" w:space="0" w:color="auto"/>
              <w:right w:val="single" w:sz="4" w:space="0" w:color="auto"/>
            </w:tcBorders>
            <w:vAlign w:val="center"/>
          </w:tcPr>
          <w:p w14:paraId="3A152106"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广西外国语学院/财务管理专业</w:t>
            </w:r>
          </w:p>
        </w:tc>
        <w:tc>
          <w:tcPr>
            <w:tcW w:w="982" w:type="dxa"/>
            <w:tcBorders>
              <w:top w:val="single" w:sz="4" w:space="0" w:color="auto"/>
              <w:left w:val="single" w:sz="4" w:space="0" w:color="auto"/>
              <w:bottom w:val="single" w:sz="4" w:space="0" w:color="auto"/>
              <w:right w:val="single" w:sz="4" w:space="0" w:color="auto"/>
            </w:tcBorders>
            <w:vAlign w:val="center"/>
          </w:tcPr>
          <w:p w14:paraId="57A0BD64"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2023年</w:t>
            </w:r>
          </w:p>
        </w:tc>
        <w:tc>
          <w:tcPr>
            <w:tcW w:w="750" w:type="dxa"/>
            <w:tcBorders>
              <w:top w:val="single" w:sz="4" w:space="0" w:color="auto"/>
              <w:left w:val="single" w:sz="4" w:space="0" w:color="auto"/>
              <w:bottom w:val="single" w:sz="4" w:space="0" w:color="auto"/>
              <w:right w:val="single" w:sz="4" w:space="0" w:color="auto"/>
            </w:tcBorders>
            <w:vAlign w:val="center"/>
          </w:tcPr>
          <w:p w14:paraId="4C8E99D7"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3年</w:t>
            </w:r>
          </w:p>
        </w:tc>
        <w:tc>
          <w:tcPr>
            <w:tcW w:w="1214" w:type="dxa"/>
            <w:tcBorders>
              <w:top w:val="single" w:sz="4" w:space="0" w:color="auto"/>
              <w:left w:val="single" w:sz="4" w:space="0" w:color="auto"/>
              <w:bottom w:val="single" w:sz="4" w:space="0" w:color="auto"/>
              <w:right w:val="single" w:sz="4" w:space="0" w:color="auto"/>
            </w:tcBorders>
            <w:vAlign w:val="center"/>
          </w:tcPr>
          <w:p w14:paraId="15B0B841" w14:textId="77777777" w:rsidR="003C51F6" w:rsidRDefault="00000000">
            <w:pPr>
              <w:widowControl/>
              <w:jc w:val="center"/>
              <w:textAlignment w:val="center"/>
              <w:rPr>
                <w:rFonts w:ascii="仿宋" w:eastAsia="仿宋" w:hAnsi="仿宋" w:cs="仿宋" w:hint="eastAsia"/>
                <w:sz w:val="18"/>
                <w:szCs w:val="18"/>
              </w:rPr>
            </w:pPr>
            <w:r>
              <w:rPr>
                <w:rFonts w:ascii="仿宋" w:eastAsia="仿宋" w:hAnsi="仿宋" w:cs="仿宋" w:hint="eastAsia"/>
                <w:color w:val="000000"/>
                <w:sz w:val="18"/>
                <w:szCs w:val="18"/>
                <w:lang w:bidi="ar"/>
              </w:rPr>
              <w:t>初级会计师</w:t>
            </w:r>
          </w:p>
        </w:tc>
        <w:tc>
          <w:tcPr>
            <w:tcW w:w="1364" w:type="dxa"/>
            <w:tcBorders>
              <w:top w:val="single" w:sz="4" w:space="0" w:color="auto"/>
              <w:left w:val="single" w:sz="4" w:space="0" w:color="auto"/>
              <w:bottom w:val="single" w:sz="4" w:space="0" w:color="auto"/>
              <w:right w:val="single" w:sz="4" w:space="0" w:color="auto"/>
            </w:tcBorders>
            <w:vAlign w:val="center"/>
          </w:tcPr>
          <w:p w14:paraId="379965B6" w14:textId="77777777" w:rsidR="003C51F6" w:rsidRDefault="00000000">
            <w:pPr>
              <w:widowControl/>
              <w:jc w:val="left"/>
              <w:rPr>
                <w:rFonts w:ascii="仿宋" w:eastAsia="仿宋" w:hAnsi="仿宋" w:cs="仿宋" w:hint="eastAsia"/>
                <w:color w:val="000000"/>
                <w:sz w:val="18"/>
                <w:szCs w:val="18"/>
                <w:lang w:bidi="ar"/>
              </w:rPr>
            </w:pPr>
            <w:r>
              <w:rPr>
                <w:rFonts w:ascii="宋体" w:hAnsi="宋体" w:cs="宋体" w:hint="eastAsia"/>
                <w:color w:val="000000"/>
                <w:sz w:val="16"/>
                <w:szCs w:val="16"/>
                <w:lang w:bidi="ar"/>
              </w:rPr>
              <w:t>31702220845015101935</w:t>
            </w:r>
          </w:p>
        </w:tc>
      </w:tr>
    </w:tbl>
    <w:p w14:paraId="305FED2B"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2.人员职责</w:t>
      </w:r>
    </w:p>
    <w:p w14:paraId="6B1A4E81"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项目负责人：全面负责本项目的实施，包括外部与委托公司或牵头公司的协调沟通；配合牵头公司制定项目实施方案和工作底稿，实施工作质量（项目负责人一级复核）和进度的控制；撰写审计报告等工作。</w:t>
      </w:r>
    </w:p>
    <w:p w14:paraId="6B429A6E"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项目主审：协助项目负责人控制项目工作质量、进度；配合牵头公司制定项目实施方案和工作底稿，组织研究处理工作组在项目实施过程中的各项专业问题；负责审计工作组成果文件的质量把关；撰写审计报告等工作。</w:t>
      </w:r>
    </w:p>
    <w:p w14:paraId="752B59A1" w14:textId="77777777" w:rsidR="003C51F6" w:rsidRDefault="00000000">
      <w:pPr>
        <w:spacing w:line="560" w:lineRule="exact"/>
        <w:ind w:firstLineChars="200" w:firstLine="640"/>
        <w:rPr>
          <w:rFonts w:ascii="仿宋" w:eastAsia="仿宋" w:hAnsi="仿宋" w:cs="仿宋" w:hint="eastAsia"/>
        </w:rPr>
      </w:pPr>
      <w:r>
        <w:rPr>
          <w:rFonts w:ascii="仿宋" w:eastAsia="仿宋" w:hAnsi="仿宋" w:cs="仿宋" w:hint="eastAsia"/>
          <w:sz w:val="32"/>
          <w:szCs w:val="32"/>
        </w:rPr>
        <w:t>审计人员：根据审计组长的安排，完成具体工作：</w:t>
      </w:r>
    </w:p>
    <w:tbl>
      <w:tblPr>
        <w:tblW w:w="9267" w:type="dxa"/>
        <w:tblInd w:w="91" w:type="dxa"/>
        <w:tblLook w:val="04A0" w:firstRow="1" w:lastRow="0" w:firstColumn="1" w:lastColumn="0" w:noHBand="0" w:noVBand="1"/>
      </w:tblPr>
      <w:tblGrid>
        <w:gridCol w:w="758"/>
        <w:gridCol w:w="1789"/>
        <w:gridCol w:w="4485"/>
        <w:gridCol w:w="2235"/>
      </w:tblGrid>
      <w:tr w:rsidR="003C51F6" w14:paraId="527D5518" w14:textId="77777777">
        <w:trPr>
          <w:trHeight w:hRule="exact" w:val="438"/>
        </w:trPr>
        <w:tc>
          <w:tcPr>
            <w:tcW w:w="758" w:type="dxa"/>
            <w:tcBorders>
              <w:top w:val="single" w:sz="4" w:space="0" w:color="000000"/>
              <w:left w:val="single" w:sz="4" w:space="0" w:color="000000"/>
              <w:bottom w:val="single" w:sz="4" w:space="0" w:color="000000"/>
              <w:right w:val="single" w:sz="4" w:space="0" w:color="000000"/>
            </w:tcBorders>
            <w:vAlign w:val="center"/>
          </w:tcPr>
          <w:p w14:paraId="1B1A7671"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序号</w:t>
            </w:r>
          </w:p>
        </w:tc>
        <w:tc>
          <w:tcPr>
            <w:tcW w:w="1789" w:type="dxa"/>
            <w:tcBorders>
              <w:top w:val="single" w:sz="4" w:space="0" w:color="000000"/>
              <w:left w:val="single" w:sz="4" w:space="0" w:color="000000"/>
              <w:bottom w:val="single" w:sz="4" w:space="0" w:color="000000"/>
              <w:right w:val="single" w:sz="4" w:space="0" w:color="000000"/>
            </w:tcBorders>
            <w:vAlign w:val="center"/>
          </w:tcPr>
          <w:p w14:paraId="613E97C1"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管理模块</w:t>
            </w:r>
          </w:p>
        </w:tc>
        <w:tc>
          <w:tcPr>
            <w:tcW w:w="4485" w:type="dxa"/>
            <w:tcBorders>
              <w:top w:val="single" w:sz="4" w:space="0" w:color="000000"/>
              <w:left w:val="single" w:sz="4" w:space="0" w:color="000000"/>
              <w:bottom w:val="single" w:sz="4" w:space="0" w:color="000000"/>
              <w:right w:val="single" w:sz="4" w:space="0" w:color="000000"/>
            </w:tcBorders>
            <w:vAlign w:val="center"/>
          </w:tcPr>
          <w:p w14:paraId="3950A4A0" w14:textId="77777777" w:rsidR="003C51F6" w:rsidRDefault="00000000">
            <w:pPr>
              <w:widowControl/>
              <w:jc w:val="center"/>
              <w:textAlignment w:val="top"/>
              <w:rPr>
                <w:rFonts w:ascii="仿宋" w:eastAsia="仿宋" w:hAnsi="仿宋" w:cs="仿宋" w:hint="eastAsia"/>
                <w:color w:val="000000"/>
                <w:sz w:val="24"/>
                <w:szCs w:val="24"/>
              </w:rPr>
            </w:pPr>
            <w:r>
              <w:rPr>
                <w:rFonts w:ascii="仿宋" w:eastAsia="仿宋" w:hAnsi="仿宋" w:cs="仿宋" w:hint="eastAsia"/>
                <w:color w:val="000000"/>
                <w:sz w:val="24"/>
                <w:szCs w:val="24"/>
                <w:lang w:bidi="ar"/>
              </w:rPr>
              <w:t>分工</w:t>
            </w:r>
          </w:p>
        </w:tc>
        <w:tc>
          <w:tcPr>
            <w:tcW w:w="2235" w:type="dxa"/>
            <w:tcBorders>
              <w:top w:val="single" w:sz="4" w:space="0" w:color="000000"/>
              <w:left w:val="single" w:sz="4" w:space="0" w:color="000000"/>
              <w:bottom w:val="single" w:sz="4" w:space="0" w:color="000000"/>
              <w:right w:val="single" w:sz="4" w:space="0" w:color="000000"/>
            </w:tcBorders>
            <w:vAlign w:val="center"/>
          </w:tcPr>
          <w:p w14:paraId="65C85BF9" w14:textId="77777777" w:rsidR="003C51F6" w:rsidRDefault="00000000">
            <w:pPr>
              <w:widowControl/>
              <w:jc w:val="center"/>
              <w:textAlignment w:val="top"/>
              <w:rPr>
                <w:rFonts w:ascii="仿宋" w:eastAsia="仿宋" w:hAnsi="仿宋" w:cs="仿宋" w:hint="eastAsia"/>
                <w:color w:val="000000"/>
                <w:sz w:val="24"/>
                <w:szCs w:val="24"/>
              </w:rPr>
            </w:pPr>
            <w:r>
              <w:rPr>
                <w:rFonts w:ascii="仿宋" w:eastAsia="仿宋" w:hAnsi="仿宋" w:cs="仿宋" w:hint="eastAsia"/>
                <w:color w:val="000000"/>
                <w:sz w:val="24"/>
                <w:szCs w:val="24"/>
                <w:lang w:bidi="ar"/>
              </w:rPr>
              <w:t>审计执行人</w:t>
            </w:r>
          </w:p>
        </w:tc>
      </w:tr>
      <w:tr w:rsidR="003C51F6" w14:paraId="5B38C6A7" w14:textId="77777777">
        <w:trPr>
          <w:trHeight w:hRule="exact" w:val="624"/>
        </w:trPr>
        <w:tc>
          <w:tcPr>
            <w:tcW w:w="758" w:type="dxa"/>
            <w:tcBorders>
              <w:top w:val="single" w:sz="4" w:space="0" w:color="000000"/>
              <w:left w:val="single" w:sz="4" w:space="0" w:color="000000"/>
              <w:bottom w:val="single" w:sz="4" w:space="0" w:color="000000"/>
              <w:right w:val="single" w:sz="4" w:space="0" w:color="000000"/>
            </w:tcBorders>
            <w:vAlign w:val="center"/>
          </w:tcPr>
          <w:p w14:paraId="2D365A4E"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1</w:t>
            </w:r>
          </w:p>
        </w:tc>
        <w:tc>
          <w:tcPr>
            <w:tcW w:w="1789" w:type="dxa"/>
            <w:tcBorders>
              <w:top w:val="single" w:sz="4" w:space="0" w:color="000000"/>
              <w:left w:val="single" w:sz="4" w:space="0" w:color="000000"/>
              <w:bottom w:val="single" w:sz="4" w:space="0" w:color="000000"/>
              <w:right w:val="single" w:sz="4" w:space="0" w:color="000000"/>
            </w:tcBorders>
            <w:vAlign w:val="center"/>
          </w:tcPr>
          <w:p w14:paraId="19331AFC"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执政管理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589EF54F"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贯彻执行党和国家经济方针政策、决策部署情况。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6535C7A4"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潘晓玲、黄航航</w:t>
            </w:r>
          </w:p>
        </w:tc>
      </w:tr>
      <w:tr w:rsidR="003C51F6" w14:paraId="37ECEC4A" w14:textId="77777777">
        <w:trPr>
          <w:trHeight w:hRule="exact" w:val="624"/>
        </w:trPr>
        <w:tc>
          <w:tcPr>
            <w:tcW w:w="758" w:type="dxa"/>
            <w:tcBorders>
              <w:top w:val="single" w:sz="4" w:space="0" w:color="000000"/>
              <w:left w:val="single" w:sz="4" w:space="0" w:color="000000"/>
              <w:bottom w:val="single" w:sz="4" w:space="0" w:color="000000"/>
              <w:right w:val="single" w:sz="4" w:space="0" w:color="000000"/>
            </w:tcBorders>
            <w:vAlign w:val="center"/>
          </w:tcPr>
          <w:p w14:paraId="2C29D9F9"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lastRenderedPageBreak/>
              <w:t>2</w:t>
            </w:r>
          </w:p>
        </w:tc>
        <w:tc>
          <w:tcPr>
            <w:tcW w:w="1789" w:type="dxa"/>
            <w:tcBorders>
              <w:top w:val="single" w:sz="4" w:space="0" w:color="000000"/>
              <w:left w:val="single" w:sz="4" w:space="0" w:color="000000"/>
              <w:bottom w:val="single" w:sz="4" w:space="0" w:color="000000"/>
              <w:right w:val="single" w:sz="4" w:space="0" w:color="000000"/>
            </w:tcBorders>
            <w:vAlign w:val="center"/>
          </w:tcPr>
          <w:p w14:paraId="5C9BEF1C"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经营管理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6530F437"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公司重要发展规划和政策措施的制定、执行和效果情况。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2215C32A"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潘晓玲、黄航航</w:t>
            </w:r>
          </w:p>
        </w:tc>
      </w:tr>
      <w:tr w:rsidR="003C51F6" w14:paraId="32988EE4" w14:textId="77777777">
        <w:trPr>
          <w:trHeight w:hRule="exact" w:val="463"/>
        </w:trPr>
        <w:tc>
          <w:tcPr>
            <w:tcW w:w="758" w:type="dxa"/>
            <w:tcBorders>
              <w:top w:val="single" w:sz="4" w:space="0" w:color="000000"/>
              <w:left w:val="single" w:sz="4" w:space="0" w:color="000000"/>
              <w:bottom w:val="single" w:sz="4" w:space="0" w:color="000000"/>
              <w:right w:val="single" w:sz="4" w:space="0" w:color="000000"/>
            </w:tcBorders>
            <w:vAlign w:val="center"/>
          </w:tcPr>
          <w:p w14:paraId="1731980B"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3</w:t>
            </w:r>
          </w:p>
        </w:tc>
        <w:tc>
          <w:tcPr>
            <w:tcW w:w="1789" w:type="dxa"/>
            <w:tcBorders>
              <w:top w:val="single" w:sz="4" w:space="0" w:color="000000"/>
              <w:left w:val="single" w:sz="4" w:space="0" w:color="000000"/>
              <w:bottom w:val="single" w:sz="4" w:space="0" w:color="000000"/>
              <w:right w:val="single" w:sz="4" w:space="0" w:color="000000"/>
            </w:tcBorders>
            <w:vAlign w:val="center"/>
          </w:tcPr>
          <w:p w14:paraId="64A2AA92"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决策管理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4F76954E"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制定和执行重大经济决策情况。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134AAB41"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梁巧逸、王丽颜</w:t>
            </w:r>
          </w:p>
        </w:tc>
      </w:tr>
      <w:tr w:rsidR="003C51F6" w14:paraId="7EA80FCB" w14:textId="77777777">
        <w:trPr>
          <w:trHeight w:hRule="exact" w:val="424"/>
        </w:trPr>
        <w:tc>
          <w:tcPr>
            <w:tcW w:w="758" w:type="dxa"/>
            <w:tcBorders>
              <w:top w:val="single" w:sz="4" w:space="0" w:color="000000"/>
              <w:left w:val="single" w:sz="4" w:space="0" w:color="000000"/>
              <w:bottom w:val="single" w:sz="4" w:space="0" w:color="000000"/>
              <w:right w:val="single" w:sz="4" w:space="0" w:color="000000"/>
            </w:tcBorders>
            <w:vAlign w:val="center"/>
          </w:tcPr>
          <w:p w14:paraId="21AE9619"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4</w:t>
            </w:r>
          </w:p>
        </w:tc>
        <w:tc>
          <w:tcPr>
            <w:tcW w:w="1789" w:type="dxa"/>
            <w:tcBorders>
              <w:top w:val="single" w:sz="4" w:space="0" w:color="000000"/>
              <w:left w:val="single" w:sz="4" w:space="0" w:color="000000"/>
              <w:bottom w:val="single" w:sz="4" w:space="0" w:color="000000"/>
              <w:right w:val="single" w:sz="4" w:space="0" w:color="000000"/>
            </w:tcBorders>
            <w:vAlign w:val="center"/>
          </w:tcPr>
          <w:p w14:paraId="41C10BAF"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经营管理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25EA00CF"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有关目标责任制的完成情况。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1D2DBC93"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肖文俊</w:t>
            </w:r>
          </w:p>
        </w:tc>
      </w:tr>
      <w:tr w:rsidR="003C51F6" w14:paraId="7CBAF95F" w14:textId="77777777">
        <w:trPr>
          <w:trHeight w:hRule="exact" w:val="711"/>
        </w:trPr>
        <w:tc>
          <w:tcPr>
            <w:tcW w:w="758" w:type="dxa"/>
            <w:tcBorders>
              <w:top w:val="single" w:sz="4" w:space="0" w:color="000000"/>
              <w:left w:val="single" w:sz="4" w:space="0" w:color="000000"/>
              <w:bottom w:val="single" w:sz="4" w:space="0" w:color="000000"/>
              <w:right w:val="single" w:sz="4" w:space="0" w:color="000000"/>
            </w:tcBorders>
            <w:vAlign w:val="center"/>
          </w:tcPr>
          <w:p w14:paraId="1072C806"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5</w:t>
            </w:r>
          </w:p>
        </w:tc>
        <w:tc>
          <w:tcPr>
            <w:tcW w:w="1789" w:type="dxa"/>
            <w:tcBorders>
              <w:top w:val="single" w:sz="4" w:space="0" w:color="000000"/>
              <w:left w:val="single" w:sz="4" w:space="0" w:color="000000"/>
              <w:bottom w:val="single" w:sz="4" w:space="0" w:color="000000"/>
              <w:right w:val="single" w:sz="4" w:space="0" w:color="000000"/>
            </w:tcBorders>
            <w:vAlign w:val="center"/>
          </w:tcPr>
          <w:p w14:paraId="1E70499A"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财务管理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54C44DFE"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财务收支的真实、合法、效益情况。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09F0FA32" w14:textId="77777777" w:rsidR="003C51F6" w:rsidRDefault="00000000">
            <w:pPr>
              <w:widowControl/>
              <w:jc w:val="center"/>
              <w:textAlignment w:val="center"/>
            </w:pPr>
            <w:r>
              <w:rPr>
                <w:rFonts w:ascii="仿宋" w:eastAsia="仿宋" w:hAnsi="仿宋" w:cs="仿宋" w:hint="eastAsia"/>
                <w:color w:val="000000"/>
                <w:sz w:val="24"/>
                <w:szCs w:val="24"/>
                <w:lang w:bidi="ar"/>
              </w:rPr>
              <w:t>王丽颜、颜烨烨、肖文俊、黄航航、</w:t>
            </w:r>
          </w:p>
        </w:tc>
      </w:tr>
      <w:tr w:rsidR="003C51F6" w14:paraId="0F3545DB" w14:textId="77777777">
        <w:trPr>
          <w:trHeight w:hRule="exact" w:val="624"/>
        </w:trPr>
        <w:tc>
          <w:tcPr>
            <w:tcW w:w="758" w:type="dxa"/>
            <w:tcBorders>
              <w:top w:val="single" w:sz="4" w:space="0" w:color="000000"/>
              <w:left w:val="single" w:sz="4" w:space="0" w:color="000000"/>
              <w:bottom w:val="single" w:sz="4" w:space="0" w:color="000000"/>
              <w:right w:val="single" w:sz="4" w:space="0" w:color="000000"/>
            </w:tcBorders>
            <w:vAlign w:val="center"/>
          </w:tcPr>
          <w:p w14:paraId="2BFDADF8"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6</w:t>
            </w:r>
          </w:p>
        </w:tc>
        <w:tc>
          <w:tcPr>
            <w:tcW w:w="1789" w:type="dxa"/>
            <w:tcBorders>
              <w:top w:val="single" w:sz="4" w:space="0" w:color="000000"/>
              <w:left w:val="single" w:sz="4" w:space="0" w:color="000000"/>
              <w:bottom w:val="single" w:sz="4" w:space="0" w:color="000000"/>
              <w:right w:val="single" w:sz="4" w:space="0" w:color="000000"/>
            </w:tcBorders>
            <w:vAlign w:val="center"/>
          </w:tcPr>
          <w:p w14:paraId="3E07D1B2"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制度管理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4D0461E5"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建立和执行内部控制制度情况。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3C2C6BED"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王丽颜、颜烨烨、肖文俊、李娥</w:t>
            </w:r>
          </w:p>
        </w:tc>
      </w:tr>
      <w:tr w:rsidR="003C51F6" w14:paraId="0D1198EF" w14:textId="77777777">
        <w:trPr>
          <w:trHeight w:hRule="exact" w:val="463"/>
        </w:trPr>
        <w:tc>
          <w:tcPr>
            <w:tcW w:w="758" w:type="dxa"/>
            <w:tcBorders>
              <w:top w:val="single" w:sz="4" w:space="0" w:color="000000"/>
              <w:left w:val="single" w:sz="4" w:space="0" w:color="000000"/>
              <w:bottom w:val="single" w:sz="4" w:space="0" w:color="000000"/>
              <w:right w:val="single" w:sz="4" w:space="0" w:color="000000"/>
            </w:tcBorders>
            <w:vAlign w:val="center"/>
          </w:tcPr>
          <w:p w14:paraId="09C5A579"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7</w:t>
            </w:r>
          </w:p>
        </w:tc>
        <w:tc>
          <w:tcPr>
            <w:tcW w:w="1789" w:type="dxa"/>
            <w:tcBorders>
              <w:top w:val="single" w:sz="4" w:space="0" w:color="000000"/>
              <w:left w:val="single" w:sz="4" w:space="0" w:color="000000"/>
              <w:bottom w:val="single" w:sz="4" w:space="0" w:color="000000"/>
              <w:right w:val="single" w:sz="4" w:space="0" w:color="000000"/>
            </w:tcBorders>
            <w:vAlign w:val="center"/>
          </w:tcPr>
          <w:p w14:paraId="7E69CE4C"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资产管理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3C1C346B"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资产的管理情况。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2113BB9F"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肖文俊、李娥</w:t>
            </w:r>
          </w:p>
        </w:tc>
      </w:tr>
      <w:tr w:rsidR="003C51F6" w14:paraId="14C4392A" w14:textId="77777777">
        <w:trPr>
          <w:trHeight w:hRule="exact" w:val="624"/>
        </w:trPr>
        <w:tc>
          <w:tcPr>
            <w:tcW w:w="758" w:type="dxa"/>
            <w:tcBorders>
              <w:top w:val="single" w:sz="4" w:space="0" w:color="000000"/>
              <w:left w:val="single" w:sz="4" w:space="0" w:color="000000"/>
              <w:bottom w:val="single" w:sz="4" w:space="0" w:color="000000"/>
              <w:right w:val="single" w:sz="4" w:space="0" w:color="000000"/>
            </w:tcBorders>
            <w:vAlign w:val="center"/>
          </w:tcPr>
          <w:p w14:paraId="7724B7F3"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8</w:t>
            </w:r>
          </w:p>
        </w:tc>
        <w:tc>
          <w:tcPr>
            <w:tcW w:w="1789" w:type="dxa"/>
            <w:tcBorders>
              <w:top w:val="single" w:sz="4" w:space="0" w:color="000000"/>
              <w:left w:val="single" w:sz="4" w:space="0" w:color="000000"/>
              <w:bottom w:val="single" w:sz="4" w:space="0" w:color="000000"/>
              <w:right w:val="single" w:sz="4" w:space="0" w:color="000000"/>
            </w:tcBorders>
            <w:vAlign w:val="center"/>
          </w:tcPr>
          <w:p w14:paraId="56B1EF25"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廉洁管理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033040AD"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履行有关党风廉政建设第一责任人职责情况和个人廉洁方面。</w:t>
            </w:r>
          </w:p>
        </w:tc>
        <w:tc>
          <w:tcPr>
            <w:tcW w:w="2235" w:type="dxa"/>
            <w:tcBorders>
              <w:top w:val="single" w:sz="4" w:space="0" w:color="000000"/>
              <w:left w:val="single" w:sz="4" w:space="0" w:color="000000"/>
              <w:bottom w:val="single" w:sz="4" w:space="0" w:color="000000"/>
              <w:right w:val="single" w:sz="4" w:space="0" w:color="000000"/>
            </w:tcBorders>
            <w:vAlign w:val="center"/>
          </w:tcPr>
          <w:p w14:paraId="6D2DE557"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梁巧逸、王丽颜</w:t>
            </w:r>
          </w:p>
        </w:tc>
      </w:tr>
      <w:tr w:rsidR="003C51F6" w14:paraId="7403D0D9" w14:textId="77777777">
        <w:trPr>
          <w:trHeight w:hRule="exact" w:val="461"/>
        </w:trPr>
        <w:tc>
          <w:tcPr>
            <w:tcW w:w="758" w:type="dxa"/>
            <w:tcBorders>
              <w:top w:val="single" w:sz="4" w:space="0" w:color="000000"/>
              <w:left w:val="single" w:sz="4" w:space="0" w:color="000000"/>
              <w:bottom w:val="single" w:sz="4" w:space="0" w:color="000000"/>
              <w:right w:val="single" w:sz="4" w:space="0" w:color="000000"/>
            </w:tcBorders>
            <w:vAlign w:val="center"/>
          </w:tcPr>
          <w:p w14:paraId="46D1C2B8"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9</w:t>
            </w:r>
          </w:p>
        </w:tc>
        <w:tc>
          <w:tcPr>
            <w:tcW w:w="1789" w:type="dxa"/>
            <w:tcBorders>
              <w:top w:val="single" w:sz="4" w:space="0" w:color="000000"/>
              <w:left w:val="single" w:sz="4" w:space="0" w:color="000000"/>
              <w:bottom w:val="single" w:sz="4" w:space="0" w:color="000000"/>
              <w:right w:val="single" w:sz="4" w:space="0" w:color="000000"/>
            </w:tcBorders>
            <w:vAlign w:val="center"/>
          </w:tcPr>
          <w:p w14:paraId="7827EB1A"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审计整改管理</w:t>
            </w:r>
          </w:p>
        </w:tc>
        <w:tc>
          <w:tcPr>
            <w:tcW w:w="4485" w:type="dxa"/>
            <w:tcBorders>
              <w:top w:val="single" w:sz="4" w:space="0" w:color="000000"/>
              <w:left w:val="single" w:sz="4" w:space="0" w:color="000000"/>
              <w:bottom w:val="single" w:sz="4" w:space="0" w:color="000000"/>
              <w:right w:val="single" w:sz="4" w:space="0" w:color="000000"/>
            </w:tcBorders>
            <w:vAlign w:val="center"/>
          </w:tcPr>
          <w:p w14:paraId="2E73319E"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以往审计发现问题整改情况。</w:t>
            </w:r>
          </w:p>
        </w:tc>
        <w:tc>
          <w:tcPr>
            <w:tcW w:w="2235" w:type="dxa"/>
            <w:tcBorders>
              <w:top w:val="single" w:sz="4" w:space="0" w:color="000000"/>
              <w:left w:val="single" w:sz="4" w:space="0" w:color="000000"/>
              <w:bottom w:val="single" w:sz="4" w:space="0" w:color="000000"/>
              <w:right w:val="single" w:sz="4" w:space="0" w:color="000000"/>
            </w:tcBorders>
            <w:vAlign w:val="center"/>
          </w:tcPr>
          <w:p w14:paraId="144346E7" w14:textId="77777777" w:rsidR="003C51F6" w:rsidRDefault="00000000">
            <w:pPr>
              <w:widowControl/>
              <w:jc w:val="center"/>
              <w:textAlignment w:val="center"/>
              <w:rPr>
                <w:rFonts w:ascii="仿宋" w:eastAsia="仿宋" w:hAnsi="仿宋" w:cs="仿宋" w:hint="eastAsia"/>
                <w:color w:val="000000"/>
                <w:sz w:val="24"/>
                <w:szCs w:val="24"/>
              </w:rPr>
            </w:pPr>
            <w:r>
              <w:rPr>
                <w:rFonts w:ascii="仿宋" w:eastAsia="仿宋" w:hAnsi="仿宋" w:cs="仿宋" w:hint="eastAsia"/>
                <w:color w:val="000000"/>
                <w:sz w:val="24"/>
                <w:szCs w:val="24"/>
                <w:lang w:bidi="ar"/>
              </w:rPr>
              <w:t>肖文俊</w:t>
            </w:r>
          </w:p>
        </w:tc>
      </w:tr>
    </w:tbl>
    <w:p w14:paraId="5170193B" w14:textId="77777777" w:rsidR="003C51F6" w:rsidRDefault="00000000">
      <w:pPr>
        <w:pStyle w:val="20"/>
        <w:rPr>
          <w:rFonts w:ascii="楷体" w:eastAsia="楷体" w:hAnsi="楷体" w:cs="楷体" w:hint="eastAsia"/>
        </w:rPr>
      </w:pPr>
      <w:r>
        <w:rPr>
          <w:rFonts w:ascii="楷体" w:eastAsia="楷体" w:hAnsi="楷体" w:cs="楷体" w:hint="eastAsia"/>
          <w:highlight w:val="lightGray"/>
        </w:rPr>
        <w:t>（二）</w:t>
      </w:r>
      <w:r>
        <w:rPr>
          <w:rFonts w:ascii="楷体" w:eastAsia="楷体" w:hAnsi="楷体" w:cs="楷体" w:hint="eastAsia"/>
        </w:rPr>
        <w:t>审计工作的计划安排</w:t>
      </w:r>
    </w:p>
    <w:p w14:paraId="5484C4C6" w14:textId="77777777" w:rsidR="003C51F6" w:rsidRDefault="00000000">
      <w:pPr>
        <w:adjustRightInd w:val="0"/>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本次审计工作将分七个步骤开展，具体如下：</w:t>
      </w:r>
    </w:p>
    <w:p w14:paraId="047DBFB1" w14:textId="77777777" w:rsidR="003C51F6" w:rsidRDefault="00000000">
      <w:pPr>
        <w:adjustRightInd w:val="0"/>
        <w:spacing w:line="560" w:lineRule="exact"/>
        <w:ind w:firstLineChars="195" w:firstLine="624"/>
        <w:rPr>
          <w:rFonts w:ascii="仿宋" w:eastAsia="仿宋" w:hAnsi="仿宋" w:cs="仿宋" w:hint="eastAsia"/>
          <w:sz w:val="32"/>
          <w:szCs w:val="32"/>
        </w:rPr>
      </w:pPr>
      <w:r>
        <w:rPr>
          <w:rFonts w:ascii="仿宋" w:eastAsia="仿宋" w:hAnsi="仿宋" w:cs="仿宋" w:hint="eastAsia"/>
          <w:sz w:val="32"/>
          <w:szCs w:val="32"/>
        </w:rPr>
        <w:t>1.前期调研。主要是收集相关资料；了解企业管理公司基本情况；编制实施方案。</w:t>
      </w:r>
    </w:p>
    <w:p w14:paraId="672FA205" w14:textId="77777777" w:rsidR="003C51F6" w:rsidRDefault="00000000">
      <w:pPr>
        <w:adjustRightInd w:val="0"/>
        <w:spacing w:line="560" w:lineRule="exact"/>
        <w:ind w:firstLineChars="195" w:firstLine="624"/>
        <w:rPr>
          <w:rFonts w:ascii="仿宋" w:eastAsia="仿宋" w:hAnsi="仿宋" w:cs="仿宋" w:hint="eastAsia"/>
          <w:sz w:val="32"/>
          <w:szCs w:val="32"/>
        </w:rPr>
      </w:pPr>
      <w:r>
        <w:rPr>
          <w:rFonts w:ascii="仿宋" w:eastAsia="仿宋" w:hAnsi="仿宋" w:cs="仿宋" w:hint="eastAsia"/>
          <w:sz w:val="32"/>
          <w:szCs w:val="32"/>
        </w:rPr>
        <w:t>2.审前培训。在前期调研工作结束后，组织审计工作组全体人员统一培训和学习，围绕委托方委托审计内容等要求制定的实施方案、工作底稿，组织审计组人员进行深入学习和了解，以便更好地完成本次审计任务。</w:t>
      </w:r>
    </w:p>
    <w:p w14:paraId="296786EA" w14:textId="77777777" w:rsidR="003C51F6" w:rsidRDefault="00000000">
      <w:pPr>
        <w:adjustRightInd w:val="0"/>
        <w:spacing w:line="560" w:lineRule="exact"/>
        <w:ind w:firstLineChars="195" w:firstLine="624"/>
        <w:rPr>
          <w:rFonts w:ascii="仿宋" w:eastAsia="仿宋" w:hAnsi="仿宋" w:cs="仿宋" w:hint="eastAsia"/>
          <w:sz w:val="32"/>
          <w:szCs w:val="32"/>
        </w:rPr>
      </w:pPr>
      <w:r>
        <w:rPr>
          <w:rFonts w:ascii="仿宋" w:eastAsia="仿宋" w:hAnsi="仿宋" w:cs="仿宋" w:hint="eastAsia"/>
          <w:sz w:val="32"/>
          <w:szCs w:val="32"/>
        </w:rPr>
        <w:t>3.实地审计。到企业管理公司现场实地审计，按期前完成外勤工作，审计工作组人员在项目负责人的领导下，提前与被审计公司相关部门取得联系后开展实地审计工作。</w:t>
      </w:r>
    </w:p>
    <w:p w14:paraId="03AF8478" w14:textId="77777777" w:rsidR="003C51F6" w:rsidRDefault="00000000">
      <w:pPr>
        <w:adjustRightInd w:val="0"/>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4.汇总上报。主审汇总各审计人员的审计情况，完成本次审计报告初稿，经项目负责人审核通过后，以书面报告形式向被审计公司取证。</w:t>
      </w:r>
    </w:p>
    <w:p w14:paraId="7F79B1AD" w14:textId="77777777" w:rsidR="003C51F6" w:rsidRDefault="00000000">
      <w:pPr>
        <w:adjustRightInd w:val="0"/>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5.征求意见。向委托方提交审计报告（征求意见稿），提交被审计部门和公司征求意见，以会议形式充分听取被审计部门和</w:t>
      </w:r>
      <w:r>
        <w:rPr>
          <w:rFonts w:ascii="仿宋" w:eastAsia="仿宋" w:hAnsi="仿宋" w:cs="仿宋" w:hint="eastAsia"/>
          <w:sz w:val="32"/>
          <w:szCs w:val="32"/>
        </w:rPr>
        <w:lastRenderedPageBreak/>
        <w:t>公司意见并形成书面反馈意见。</w:t>
      </w:r>
    </w:p>
    <w:p w14:paraId="7AA241FD" w14:textId="77777777" w:rsidR="003C51F6" w:rsidRDefault="00000000">
      <w:pPr>
        <w:adjustRightInd w:val="0"/>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6.出具正式报告。依据企业管理公司、委托方反馈意见，修改完善形成委托方审计报告（上报稿）。</w:t>
      </w:r>
    </w:p>
    <w:p w14:paraId="3DCA88C3" w14:textId="77777777" w:rsidR="003C51F6" w:rsidRDefault="00000000">
      <w:pPr>
        <w:pStyle w:val="20"/>
        <w:rPr>
          <w:rFonts w:ascii="楷体" w:eastAsia="楷体" w:hAnsi="楷体" w:cs="楷体" w:hint="eastAsia"/>
          <w:b w:val="0"/>
          <w:bCs w:val="0"/>
        </w:rPr>
      </w:pPr>
      <w:r>
        <w:rPr>
          <w:rFonts w:ascii="楷体" w:eastAsia="楷体" w:hAnsi="楷体" w:cs="楷体" w:hint="eastAsia"/>
        </w:rPr>
        <w:t>（三）审计工作质量控制</w:t>
      </w:r>
    </w:p>
    <w:p w14:paraId="1DED7270"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1.加强内部培训、打好基础</w:t>
      </w:r>
    </w:p>
    <w:p w14:paraId="394C051C"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充分开展前期工作，调研政策相关情况。强化对审计项目政策、制度要求、审计指标体系、打分标准、调查问卷、相关专业技术知识等，从具体操作方面入手，解读实施方案，统一工作方法和目标。通过培训，促使所有审计人员准确理解把握政策要求，按实施方案开展审计工作。</w:t>
      </w:r>
    </w:p>
    <w:p w14:paraId="346CD585"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2.全过程沟通协调畅通</w:t>
      </w:r>
    </w:p>
    <w:p w14:paraId="4E481AB2"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保持全过程审计工作中内外沟通畅通，发挥集体智慧和力量。包括：外部与被审计主管部门随时沟通，从专业上多咨询、多学习，保证审计指标体系的适用性、科学性，及审计结果的客观性。各审计小组间保持沟通，互相提醒和借鉴。公司内部保持良好沟通，集思广益，及时掌握情况，及时预防与纠偏。</w:t>
      </w:r>
    </w:p>
    <w:p w14:paraId="3F34EE2A" w14:textId="77777777" w:rsidR="003C51F6" w:rsidRDefault="00000000">
      <w:pPr>
        <w:pStyle w:val="Style13"/>
        <w:spacing w:before="0" w:after="0" w:line="560" w:lineRule="exact"/>
        <w:ind w:firstLineChars="200" w:firstLine="643"/>
        <w:outlineLvl w:val="2"/>
        <w:rPr>
          <w:rFonts w:ascii="仿宋" w:eastAsia="仿宋" w:hAnsi="仿宋" w:cs="仿宋" w:hint="eastAsia"/>
          <w:b/>
          <w:bCs/>
          <w:kern w:val="2"/>
          <w:sz w:val="32"/>
          <w:szCs w:val="32"/>
        </w:rPr>
      </w:pPr>
      <w:r>
        <w:rPr>
          <w:rFonts w:ascii="仿宋" w:eastAsia="仿宋" w:hAnsi="仿宋" w:cs="仿宋" w:hint="eastAsia"/>
          <w:b/>
          <w:bCs/>
          <w:kern w:val="2"/>
          <w:sz w:val="32"/>
          <w:szCs w:val="32"/>
        </w:rPr>
        <w:t>3.工作成果分级复核、集体讨论</w:t>
      </w:r>
    </w:p>
    <w:p w14:paraId="6CA19061"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（1）现场负责人复核</w:t>
      </w:r>
    </w:p>
    <w:p w14:paraId="0D2CD240"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现场负责人须对审计小组各成员完成的审计成果进行复核，使所有的审计结论均获得充足的审计证据，得出审计结论真实、客观，同时向项目负责人汇报审计情况并提交审计成果文件，并与被审计公司（部门）沟通，确认审计结果。</w:t>
      </w:r>
    </w:p>
    <w:p w14:paraId="0B8AA237"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（2）项目负责人复核</w:t>
      </w:r>
    </w:p>
    <w:p w14:paraId="607DDDF6"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项目负责人须对审计小组提交的审计成果文件进行复核，分析审计结论之间的逻辑关系，判断相关数据的可靠性，确定审计小组是否需要实施进一步的审计程序，必要时延长审计小组在现场开展审计工作的时间。</w:t>
      </w:r>
    </w:p>
    <w:p w14:paraId="57B9193B"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（3）技术指导小组审核</w:t>
      </w:r>
    </w:p>
    <w:p w14:paraId="7309D7BA"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技术指导小组进行审计结论和审计数据的审核，对存在疑问的事项及时与相关审计小组进行沟通反馈，实时统计审计工作的进度计划，保证委托方审计工作的顺利完成。</w:t>
      </w:r>
    </w:p>
    <w:p w14:paraId="5BA5FEF8"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（4）负责合伙人审核</w:t>
      </w:r>
    </w:p>
    <w:p w14:paraId="0A334870" w14:textId="77777777" w:rsidR="003C51F6" w:rsidRDefault="00000000">
      <w:pPr>
        <w:pStyle w:val="Style13"/>
        <w:spacing w:before="0" w:after="0" w:line="560" w:lineRule="exact"/>
        <w:ind w:firstLineChars="200" w:firstLine="640"/>
        <w:rPr>
          <w:rFonts w:ascii="仿宋" w:eastAsia="仿宋" w:hAnsi="仿宋" w:hint="eastAsia"/>
          <w:sz w:val="32"/>
          <w:szCs w:val="32"/>
        </w:rPr>
      </w:pPr>
      <w:r>
        <w:rPr>
          <w:rFonts w:ascii="仿宋" w:eastAsia="仿宋" w:hAnsi="仿宋" w:hint="eastAsia"/>
          <w:sz w:val="32"/>
          <w:szCs w:val="32"/>
        </w:rPr>
        <w:t>经过技术指导小组进行审核后，负责合伙人就审计有关重要事项、重要指标进行审核，总体把握审计结果依据的充分性及审计结论的适当性。</w:t>
      </w:r>
    </w:p>
    <w:p w14:paraId="6C6EAA15" w14:textId="77777777" w:rsidR="003C51F6" w:rsidRDefault="00000000">
      <w:pPr>
        <w:pStyle w:val="3"/>
        <w:spacing w:before="0" w:after="0" w:line="560" w:lineRule="exact"/>
        <w:ind w:firstLine="200"/>
        <w:rPr>
          <w:rFonts w:ascii="仿宋" w:eastAsia="仿宋" w:hAnsi="仿宋" w:cs="仿宋" w:hint="eastAsia"/>
          <w:b w:val="0"/>
          <w:bCs w:val="0"/>
          <w:sz w:val="32"/>
          <w:szCs w:val="32"/>
        </w:rPr>
      </w:pPr>
      <w:r>
        <w:rPr>
          <w:rFonts w:ascii="仿宋" w:eastAsia="仿宋" w:hAnsi="仿宋" w:cs="仿宋" w:hint="eastAsia"/>
          <w:sz w:val="32"/>
          <w:szCs w:val="32"/>
        </w:rPr>
        <w:t>4.重大问题、汇报请示</w:t>
      </w:r>
    </w:p>
    <w:p w14:paraId="6C7FC6B6" w14:textId="77777777" w:rsidR="003C51F6" w:rsidRDefault="00000000">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在处理重大、疑难问题或重大事项时，将保持必要的执业谨慎，对工作过程中出现的重大情况，要求审计人员向项目负责人汇报，由项目负责人再次核实，并经技术指导小组内部讨论后，形成书面文字资料向负责合伙人报告，形成一致意见后，由项目负责人向委托方汇报解决。</w:t>
      </w:r>
    </w:p>
    <w:p w14:paraId="7CF72149" w14:textId="77777777" w:rsidR="003C51F6" w:rsidRDefault="00000000">
      <w:pPr>
        <w:pStyle w:val="3"/>
        <w:spacing w:before="0" w:after="0" w:line="560" w:lineRule="exact"/>
        <w:ind w:firstLine="200"/>
        <w:rPr>
          <w:rFonts w:ascii="仿宋" w:eastAsia="仿宋" w:hAnsi="仿宋" w:cs="仿宋" w:hint="eastAsia"/>
          <w:b w:val="0"/>
          <w:bCs w:val="0"/>
          <w:sz w:val="32"/>
          <w:szCs w:val="32"/>
        </w:rPr>
      </w:pPr>
      <w:r>
        <w:rPr>
          <w:rFonts w:ascii="仿宋" w:eastAsia="仿宋" w:hAnsi="仿宋" w:cs="仿宋" w:hint="eastAsia"/>
          <w:sz w:val="32"/>
          <w:szCs w:val="32"/>
        </w:rPr>
        <w:t>5.项目里程碑事件清单</w:t>
      </w:r>
    </w:p>
    <w:tbl>
      <w:tblPr>
        <w:tblStyle w:val="ab"/>
        <w:tblW w:w="9065" w:type="dxa"/>
        <w:tblLayout w:type="fixed"/>
        <w:tblLook w:val="04A0" w:firstRow="1" w:lastRow="0" w:firstColumn="1" w:lastColumn="0" w:noHBand="0" w:noVBand="1"/>
      </w:tblPr>
      <w:tblGrid>
        <w:gridCol w:w="1851"/>
        <w:gridCol w:w="2686"/>
        <w:gridCol w:w="4528"/>
      </w:tblGrid>
      <w:tr w:rsidR="003C51F6" w14:paraId="5D700E03" w14:textId="77777777">
        <w:trPr>
          <w:trHeight w:val="452"/>
        </w:trPr>
        <w:tc>
          <w:tcPr>
            <w:tcW w:w="1851" w:type="dxa"/>
            <w:vAlign w:val="center"/>
          </w:tcPr>
          <w:p w14:paraId="2FC4E063" w14:textId="77777777" w:rsidR="003C51F6" w:rsidRDefault="00000000">
            <w:pPr>
              <w:widowControl/>
              <w:adjustRightInd w:val="0"/>
              <w:snapToGrid w:val="0"/>
              <w:ind w:right="119"/>
              <w:jc w:val="center"/>
              <w:rPr>
                <w:rFonts w:ascii="仿宋" w:eastAsia="仿宋" w:hAnsi="仿宋" w:cs="仿宋" w:hint="eastAsia"/>
                <w:b/>
                <w:bCs/>
                <w:sz w:val="24"/>
                <w:szCs w:val="24"/>
              </w:rPr>
            </w:pPr>
            <w:r>
              <w:rPr>
                <w:rFonts w:ascii="仿宋" w:eastAsia="仿宋" w:hAnsi="仿宋" w:cs="仿宋" w:hint="eastAsia"/>
                <w:b/>
                <w:bCs/>
                <w:sz w:val="24"/>
                <w:szCs w:val="24"/>
              </w:rPr>
              <w:t>项目</w:t>
            </w:r>
          </w:p>
        </w:tc>
        <w:tc>
          <w:tcPr>
            <w:tcW w:w="2686" w:type="dxa"/>
            <w:vAlign w:val="center"/>
          </w:tcPr>
          <w:p w14:paraId="2EE0FAFA" w14:textId="77777777" w:rsidR="003C51F6" w:rsidRDefault="00000000">
            <w:pPr>
              <w:widowControl/>
              <w:adjustRightInd w:val="0"/>
              <w:snapToGrid w:val="0"/>
              <w:ind w:right="119"/>
              <w:jc w:val="center"/>
              <w:rPr>
                <w:rFonts w:ascii="仿宋" w:eastAsia="仿宋" w:hAnsi="仿宋" w:cs="仿宋" w:hint="eastAsia"/>
                <w:b/>
                <w:bCs/>
                <w:sz w:val="24"/>
                <w:szCs w:val="24"/>
              </w:rPr>
            </w:pPr>
            <w:r>
              <w:rPr>
                <w:rFonts w:ascii="仿宋" w:eastAsia="仿宋" w:hAnsi="仿宋" w:cs="仿宋" w:hint="eastAsia"/>
                <w:b/>
                <w:bCs/>
                <w:sz w:val="24"/>
                <w:szCs w:val="24"/>
              </w:rPr>
              <w:t>时间</w:t>
            </w:r>
          </w:p>
        </w:tc>
        <w:tc>
          <w:tcPr>
            <w:tcW w:w="4528" w:type="dxa"/>
            <w:vAlign w:val="center"/>
          </w:tcPr>
          <w:p w14:paraId="08090777" w14:textId="77777777" w:rsidR="003C51F6" w:rsidRDefault="00000000">
            <w:pPr>
              <w:widowControl/>
              <w:adjustRightInd w:val="0"/>
              <w:snapToGrid w:val="0"/>
              <w:ind w:right="119"/>
              <w:jc w:val="center"/>
              <w:rPr>
                <w:rFonts w:ascii="仿宋" w:eastAsia="仿宋" w:hAnsi="仿宋" w:cs="仿宋" w:hint="eastAsia"/>
                <w:b/>
                <w:bCs/>
                <w:sz w:val="24"/>
                <w:szCs w:val="24"/>
              </w:rPr>
            </w:pPr>
            <w:r>
              <w:rPr>
                <w:rFonts w:ascii="仿宋" w:eastAsia="仿宋" w:hAnsi="仿宋" w:cs="仿宋" w:hint="eastAsia"/>
                <w:b/>
                <w:bCs/>
                <w:sz w:val="24"/>
                <w:szCs w:val="24"/>
              </w:rPr>
              <w:t>内容</w:t>
            </w:r>
          </w:p>
        </w:tc>
      </w:tr>
      <w:tr w:rsidR="003C51F6" w14:paraId="5222486C" w14:textId="77777777">
        <w:trPr>
          <w:trHeight w:val="1019"/>
        </w:trPr>
        <w:tc>
          <w:tcPr>
            <w:tcW w:w="1851" w:type="dxa"/>
            <w:vAlign w:val="center"/>
          </w:tcPr>
          <w:p w14:paraId="2ED66242"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t>项目计划工作</w:t>
            </w:r>
          </w:p>
        </w:tc>
        <w:tc>
          <w:tcPr>
            <w:tcW w:w="2686" w:type="dxa"/>
            <w:vAlign w:val="center"/>
          </w:tcPr>
          <w:p w14:paraId="7184374B"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2025.7.10-2025.7.29</w:t>
            </w:r>
          </w:p>
        </w:tc>
        <w:tc>
          <w:tcPr>
            <w:tcW w:w="4528" w:type="dxa"/>
            <w:vAlign w:val="center"/>
          </w:tcPr>
          <w:p w14:paraId="784A36B9"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项目计划性工作：组成审计组、开展审前调查、编制审计方案、下达审计通知书、被审单位按审计通知书准备资料。</w:t>
            </w:r>
          </w:p>
        </w:tc>
      </w:tr>
      <w:tr w:rsidR="003C51F6" w14:paraId="4ECCF8D3" w14:textId="77777777">
        <w:trPr>
          <w:trHeight w:val="524"/>
        </w:trPr>
        <w:tc>
          <w:tcPr>
            <w:tcW w:w="1851" w:type="dxa"/>
            <w:vAlign w:val="center"/>
          </w:tcPr>
          <w:p w14:paraId="084142C3"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t>项目启动会议</w:t>
            </w:r>
          </w:p>
        </w:tc>
        <w:tc>
          <w:tcPr>
            <w:tcW w:w="2686" w:type="dxa"/>
            <w:vAlign w:val="center"/>
          </w:tcPr>
          <w:p w14:paraId="4AAAD90E" w14:textId="77777777" w:rsidR="003C51F6" w:rsidRDefault="00000000">
            <w:pPr>
              <w:widowControl/>
              <w:adjustRightInd w:val="0"/>
              <w:snapToGrid w:val="0"/>
              <w:ind w:right="119"/>
              <w:rPr>
                <w:rFonts w:ascii="仿宋" w:eastAsia="仿宋" w:hAnsi="仿宋" w:cs="仿宋" w:hint="eastAsia"/>
                <w:sz w:val="24"/>
                <w:szCs w:val="24"/>
                <w:highlight w:val="yellow"/>
              </w:rPr>
            </w:pPr>
            <w:r>
              <w:rPr>
                <w:rFonts w:ascii="仿宋" w:eastAsia="仿宋" w:hAnsi="仿宋" w:cs="仿宋" w:hint="eastAsia"/>
                <w:sz w:val="24"/>
                <w:szCs w:val="24"/>
              </w:rPr>
              <w:t>2025.7.30</w:t>
            </w:r>
          </w:p>
        </w:tc>
        <w:tc>
          <w:tcPr>
            <w:tcW w:w="4528" w:type="dxa"/>
            <w:vAlign w:val="center"/>
          </w:tcPr>
          <w:p w14:paraId="1755B9FE"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项目启动会议</w:t>
            </w:r>
          </w:p>
        </w:tc>
      </w:tr>
      <w:tr w:rsidR="003C51F6" w14:paraId="6C617AD0" w14:textId="77777777">
        <w:trPr>
          <w:trHeight w:val="951"/>
        </w:trPr>
        <w:tc>
          <w:tcPr>
            <w:tcW w:w="1851" w:type="dxa"/>
            <w:vAlign w:val="center"/>
          </w:tcPr>
          <w:p w14:paraId="28728F4B"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t>现场审计工作</w:t>
            </w:r>
          </w:p>
        </w:tc>
        <w:tc>
          <w:tcPr>
            <w:tcW w:w="2686" w:type="dxa"/>
            <w:vAlign w:val="center"/>
          </w:tcPr>
          <w:p w14:paraId="4DF00584"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2025.7.30-2025.8.30</w:t>
            </w:r>
          </w:p>
        </w:tc>
        <w:tc>
          <w:tcPr>
            <w:tcW w:w="4528" w:type="dxa"/>
            <w:vAlign w:val="center"/>
          </w:tcPr>
          <w:p w14:paraId="0C10678E"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召开进点会议、收集有关资料、获取审计证据、编制审计工作底稿、与被审计领导干部及其所在项目部交换意见。</w:t>
            </w:r>
          </w:p>
        </w:tc>
      </w:tr>
      <w:tr w:rsidR="003C51F6" w14:paraId="303B64BC" w14:textId="77777777">
        <w:trPr>
          <w:trHeight w:val="590"/>
        </w:trPr>
        <w:tc>
          <w:tcPr>
            <w:tcW w:w="1851" w:type="dxa"/>
            <w:vAlign w:val="center"/>
          </w:tcPr>
          <w:p w14:paraId="72B181A9"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lastRenderedPageBreak/>
              <w:t>沟通审计结果</w:t>
            </w:r>
          </w:p>
        </w:tc>
        <w:tc>
          <w:tcPr>
            <w:tcW w:w="2686" w:type="dxa"/>
            <w:vAlign w:val="center"/>
          </w:tcPr>
          <w:p w14:paraId="1EC8133A"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2025.9.1-2025.9.5</w:t>
            </w:r>
          </w:p>
        </w:tc>
        <w:tc>
          <w:tcPr>
            <w:tcW w:w="4528" w:type="dxa"/>
            <w:vAlign w:val="center"/>
          </w:tcPr>
          <w:p w14:paraId="7C966205"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与审计部领导沟通审计结果，包括审计意见、审计建议以及关键事项的审计程序等；并对审计工作进行整体总结；与被审计单位沟通审计发现事项及审计意见。</w:t>
            </w:r>
          </w:p>
        </w:tc>
      </w:tr>
      <w:tr w:rsidR="003C51F6" w14:paraId="57977DB1" w14:textId="77777777">
        <w:trPr>
          <w:trHeight w:val="590"/>
        </w:trPr>
        <w:tc>
          <w:tcPr>
            <w:tcW w:w="1851" w:type="dxa"/>
            <w:vAlign w:val="center"/>
          </w:tcPr>
          <w:p w14:paraId="71945124"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t>出具审计报告初稿</w:t>
            </w:r>
          </w:p>
        </w:tc>
        <w:tc>
          <w:tcPr>
            <w:tcW w:w="2686" w:type="dxa"/>
            <w:vAlign w:val="center"/>
          </w:tcPr>
          <w:p w14:paraId="61F9D1E7"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2025.9.5-2025.9.15</w:t>
            </w:r>
          </w:p>
        </w:tc>
        <w:tc>
          <w:tcPr>
            <w:tcW w:w="4528" w:type="dxa"/>
            <w:vAlign w:val="center"/>
          </w:tcPr>
          <w:p w14:paraId="47F686A0"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审计小组草拟审计报告初稿并完成审计部内部的审阅，审阅后的审计报告供被审计单位进一步审阅。</w:t>
            </w:r>
          </w:p>
        </w:tc>
      </w:tr>
      <w:tr w:rsidR="003C51F6" w14:paraId="00DFD652" w14:textId="77777777">
        <w:trPr>
          <w:trHeight w:val="526"/>
        </w:trPr>
        <w:tc>
          <w:tcPr>
            <w:tcW w:w="1851" w:type="dxa"/>
            <w:vAlign w:val="center"/>
          </w:tcPr>
          <w:p w14:paraId="69BDD9C6" w14:textId="77777777" w:rsidR="003C51F6" w:rsidRDefault="00000000">
            <w:pPr>
              <w:widowControl/>
              <w:adjustRightInd w:val="0"/>
              <w:snapToGrid w:val="0"/>
              <w:ind w:right="119"/>
              <w:jc w:val="center"/>
              <w:rPr>
                <w:rFonts w:ascii="仿宋" w:eastAsia="仿宋" w:hAnsi="仿宋" w:cs="仿宋" w:hint="eastAsia"/>
                <w:sz w:val="24"/>
                <w:szCs w:val="24"/>
              </w:rPr>
            </w:pPr>
            <w:r>
              <w:rPr>
                <w:rFonts w:ascii="仿宋" w:eastAsia="仿宋" w:hAnsi="仿宋" w:cs="仿宋" w:hint="eastAsia"/>
                <w:sz w:val="24"/>
                <w:szCs w:val="24"/>
              </w:rPr>
              <w:t>出具审计报告终稿</w:t>
            </w:r>
          </w:p>
        </w:tc>
        <w:tc>
          <w:tcPr>
            <w:tcW w:w="2686" w:type="dxa"/>
            <w:vAlign w:val="center"/>
          </w:tcPr>
          <w:p w14:paraId="33585F0A" w14:textId="77777777" w:rsidR="003C51F6" w:rsidRDefault="00000000">
            <w:pPr>
              <w:widowControl/>
              <w:adjustRightInd w:val="0"/>
              <w:snapToGrid w:val="0"/>
              <w:ind w:right="119"/>
              <w:rPr>
                <w:rFonts w:ascii="仿宋" w:eastAsia="仿宋" w:hAnsi="仿宋" w:cs="仿宋" w:hint="eastAsia"/>
                <w:sz w:val="24"/>
                <w:szCs w:val="24"/>
              </w:rPr>
            </w:pPr>
            <w:r>
              <w:rPr>
                <w:rFonts w:ascii="仿宋" w:eastAsia="仿宋" w:hAnsi="仿宋" w:cs="仿宋" w:hint="eastAsia"/>
                <w:sz w:val="24"/>
                <w:szCs w:val="24"/>
              </w:rPr>
              <w:t>2025.10.20</w:t>
            </w:r>
          </w:p>
        </w:tc>
        <w:tc>
          <w:tcPr>
            <w:tcW w:w="4528" w:type="dxa"/>
            <w:vAlign w:val="center"/>
          </w:tcPr>
          <w:p w14:paraId="6042E1DD" w14:textId="77777777" w:rsidR="003C51F6" w:rsidRDefault="003C51F6">
            <w:pPr>
              <w:widowControl/>
              <w:adjustRightInd w:val="0"/>
              <w:snapToGrid w:val="0"/>
              <w:ind w:right="119"/>
              <w:rPr>
                <w:rFonts w:ascii="仿宋" w:eastAsia="仿宋" w:hAnsi="仿宋" w:cs="仿宋" w:hint="eastAsia"/>
                <w:sz w:val="24"/>
                <w:szCs w:val="24"/>
              </w:rPr>
            </w:pPr>
          </w:p>
        </w:tc>
      </w:tr>
    </w:tbl>
    <w:p w14:paraId="262DC502" w14:textId="77777777" w:rsidR="003C51F6" w:rsidRDefault="003C51F6">
      <w:pPr>
        <w:spacing w:line="560" w:lineRule="exact"/>
        <w:ind w:right="119" w:firstLineChars="700" w:firstLine="2240"/>
        <w:rPr>
          <w:rFonts w:ascii="仿宋" w:eastAsia="仿宋" w:hAnsi="仿宋" w:cs="仿宋" w:hint="eastAsia"/>
          <w:sz w:val="32"/>
          <w:szCs w:val="32"/>
        </w:rPr>
      </w:pPr>
    </w:p>
    <w:p w14:paraId="44EBA090" w14:textId="77777777" w:rsidR="003C51F6" w:rsidRDefault="003C51F6">
      <w:pPr>
        <w:spacing w:line="560" w:lineRule="exact"/>
        <w:ind w:right="119" w:firstLineChars="700" w:firstLine="2240"/>
        <w:rPr>
          <w:rFonts w:ascii="仿宋" w:eastAsia="仿宋" w:hAnsi="仿宋" w:cs="仿宋" w:hint="eastAsia"/>
          <w:sz w:val="32"/>
          <w:szCs w:val="32"/>
        </w:rPr>
      </w:pPr>
    </w:p>
    <w:p w14:paraId="1E7B9A8E" w14:textId="77777777" w:rsidR="003C51F6" w:rsidRDefault="00000000">
      <w:pPr>
        <w:spacing w:line="560" w:lineRule="exact"/>
        <w:ind w:right="119" w:firstLineChars="700" w:firstLine="2240"/>
        <w:rPr>
          <w:rFonts w:ascii="仿宋" w:eastAsia="仿宋" w:hAnsi="仿宋" w:cs="仿宋" w:hint="eastAsia"/>
          <w:sz w:val="32"/>
          <w:szCs w:val="32"/>
        </w:rPr>
      </w:pPr>
      <w:r>
        <w:rPr>
          <w:rFonts w:ascii="仿宋" w:eastAsia="仿宋" w:hAnsi="仿宋" w:cs="仿宋" w:hint="eastAsia"/>
          <w:sz w:val="32"/>
          <w:szCs w:val="32"/>
        </w:rPr>
        <w:t>编制人：广西瑞信盛德会计师事务所有限公司</w:t>
      </w:r>
    </w:p>
    <w:p w14:paraId="06E4FA7A" w14:textId="77777777" w:rsidR="003C51F6" w:rsidRDefault="00000000">
      <w:pPr>
        <w:spacing w:line="560" w:lineRule="exact"/>
        <w:ind w:left="119" w:right="119" w:firstLineChars="200" w:firstLine="640"/>
        <w:jc w:val="center"/>
        <w:rPr>
          <w:rFonts w:ascii="仿宋" w:eastAsia="仿宋" w:hAnsi="仿宋" w:cs="仿宋" w:hint="eastAsia"/>
          <w:sz w:val="32"/>
          <w:szCs w:val="32"/>
        </w:rPr>
      </w:pPr>
      <w:r>
        <w:rPr>
          <w:rFonts w:ascii="仿宋" w:eastAsia="仿宋" w:hAnsi="仿宋" w:cs="仿宋" w:hint="eastAsia"/>
          <w:sz w:val="32"/>
          <w:szCs w:val="32"/>
        </w:rPr>
        <w:t xml:space="preserve">               2025年7月28日</w:t>
      </w:r>
    </w:p>
    <w:p w14:paraId="45FE6349" w14:textId="77777777" w:rsidR="00794918" w:rsidRDefault="00794918" w:rsidP="00794918">
      <w:pPr>
        <w:pStyle w:val="Style13"/>
        <w:spacing w:before="0" w:after="0" w:line="560" w:lineRule="exact"/>
        <w:ind w:firstLineChars="200" w:firstLine="640"/>
        <w:rPr>
          <w:rFonts w:ascii="仿宋" w:eastAsia="仿宋" w:hAnsi="仿宋" w:cs="仿宋" w:hint="eastAsia"/>
          <w:kern w:val="2"/>
          <w:sz w:val="32"/>
          <w:szCs w:val="32"/>
        </w:rPr>
      </w:pPr>
    </w:p>
    <w:p w14:paraId="1969D956" w14:textId="63EB6562" w:rsidR="003C51F6" w:rsidRDefault="00794918" w:rsidP="00794918">
      <w:pPr>
        <w:pStyle w:val="Style13"/>
        <w:spacing w:before="0" w:after="0" w:line="560" w:lineRule="exact"/>
        <w:ind w:firstLineChars="200" w:firstLine="640"/>
        <w:rPr>
          <w:rFonts w:ascii="仿宋" w:eastAsia="仿宋" w:hAnsi="仿宋" w:cs="仿宋" w:hint="eastAsia"/>
          <w:kern w:val="2"/>
          <w:sz w:val="32"/>
          <w:szCs w:val="32"/>
        </w:rPr>
      </w:pPr>
      <w:r w:rsidRPr="00FD5C06">
        <w:rPr>
          <w:rFonts w:ascii="仿宋" w:eastAsia="仿宋" w:hAnsi="仿宋" w:cs="仿宋" w:hint="eastAsia"/>
          <w:kern w:val="2"/>
          <w:sz w:val="32"/>
          <w:szCs w:val="32"/>
          <w:highlight w:val="yellow"/>
        </w:rPr>
        <w:t>{{</w:t>
      </w:r>
      <w:r>
        <w:rPr>
          <w:rFonts w:ascii="仿宋" w:eastAsia="仿宋" w:hAnsi="仿宋" w:cs="仿宋" w:hint="eastAsia"/>
          <w:kern w:val="2"/>
          <w:sz w:val="32"/>
          <w:szCs w:val="32"/>
          <w:highlight w:val="yellow"/>
        </w:rPr>
        <w:t>90</w:t>
      </w:r>
      <w:r w:rsidRPr="00FD5C06">
        <w:rPr>
          <w:rFonts w:ascii="仿宋" w:eastAsia="仿宋" w:hAnsi="仿宋" w:cs="仿宋" w:hint="eastAsia"/>
          <w:kern w:val="2"/>
          <w:sz w:val="32"/>
          <w:szCs w:val="32"/>
          <w:highlight w:val="yellow"/>
        </w:rPr>
        <w:t>}}</w:t>
      </w:r>
    </w:p>
    <w:sectPr w:rsidR="003C51F6">
      <w:footerReference w:type="default" r:id="rId9"/>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E2D89" w14:textId="77777777" w:rsidR="00413DF3" w:rsidRDefault="00413DF3">
      <w:r>
        <w:separator/>
      </w:r>
    </w:p>
  </w:endnote>
  <w:endnote w:type="continuationSeparator" w:id="0">
    <w:p w14:paraId="37095B91" w14:textId="77777777" w:rsidR="00413DF3" w:rsidRDefault="0041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26E694AE-9685-4B4D-A6A3-CB16908715E4}"/>
  </w:font>
  <w:font w:name="仿宋_GB2312">
    <w:altName w:val="微软雅黑"/>
    <w:charset w:val="86"/>
    <w:family w:val="modern"/>
    <w:pitch w:val="default"/>
    <w:sig w:usb0="00000001" w:usb1="080E0000" w:usb2="00000000" w:usb3="00000000" w:csb0="00040000" w:csb1="00000000"/>
  </w:font>
  <w:font w:name="方正小标宋简体">
    <w:altName w:val="仿宋_GB2312"/>
    <w:charset w:val="86"/>
    <w:family w:val="auto"/>
    <w:pitch w:val="default"/>
    <w:sig w:usb0="00000000" w:usb1="00000000" w:usb2="00000000" w:usb3="00000000" w:csb0="00040000" w:csb1="00000000"/>
    <w:embedRegular r:id="rId2" w:fontKey="{B9C585AD-13F1-4F24-8705-F23D0C194AEC}"/>
  </w:font>
  <w:font w:name="Cambria">
    <w:panose1 w:val="02040503050406030204"/>
    <w:charset w:val="00"/>
    <w:family w:val="roman"/>
    <w:pitch w:val="variable"/>
    <w:sig w:usb0="E00006FF" w:usb1="420024FF" w:usb2="02000000" w:usb3="00000000" w:csb0="0000019F" w:csb1="00000000"/>
    <w:embedRegular r:id="rId3" w:subsetted="1" w:fontKey="{10B508B4-6DB7-40CE-84A0-2DC5DE7F76D4}"/>
  </w:font>
  <w:font w:name="黑体">
    <w:altName w:val="SimHei"/>
    <w:panose1 w:val="02010609060101010101"/>
    <w:charset w:val="86"/>
    <w:family w:val="modern"/>
    <w:pitch w:val="fixed"/>
    <w:sig w:usb0="800002BF" w:usb1="38CF7CFA" w:usb2="00000016" w:usb3="00000000" w:csb0="00040001" w:csb1="00000000"/>
    <w:embedBold r:id="rId4" w:subsetted="1" w:fontKey="{BD140AFC-4454-4D75-993D-A700A1787ED6}"/>
  </w:font>
  <w:font w:name="仿宋">
    <w:panose1 w:val="02010609060101010101"/>
    <w:charset w:val="86"/>
    <w:family w:val="modern"/>
    <w:pitch w:val="fixed"/>
    <w:sig w:usb0="800002BF" w:usb1="38CF7CFA" w:usb2="00000016" w:usb3="00000000" w:csb0="00040001" w:csb1="00000000"/>
    <w:embedRegular r:id="rId5" w:subsetted="1" w:fontKey="{A157CDF6-6351-488C-B6DD-EEDF21554F2C}"/>
    <w:embedBold r:id="rId6" w:subsetted="1" w:fontKey="{92EA7525-045C-445E-91AD-F6DD56D23475}"/>
  </w:font>
  <w:font w:name="楷体">
    <w:panose1 w:val="02010609060101010101"/>
    <w:charset w:val="86"/>
    <w:family w:val="modern"/>
    <w:pitch w:val="fixed"/>
    <w:sig w:usb0="800002BF" w:usb1="38CF7CFA" w:usb2="00000016" w:usb3="00000000" w:csb0="00040001" w:csb1="00000000"/>
    <w:embedBold r:id="rId7" w:subsetted="1" w:fontKey="{206234D7-8009-407A-BA58-F06FE24DEFA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5D5C" w14:textId="77777777" w:rsidR="003C51F6" w:rsidRDefault="00000000">
    <w:pPr>
      <w:pStyle w:val="a7"/>
    </w:pPr>
    <w:r>
      <w:rPr>
        <w:noProof/>
      </w:rPr>
      <mc:AlternateContent>
        <mc:Choice Requires="wps">
          <w:drawing>
            <wp:anchor distT="0" distB="0" distL="114300" distR="114300" simplePos="0" relativeHeight="251659264" behindDoc="0" locked="0" layoutInCell="1" allowOverlap="1" wp14:anchorId="333ACB62" wp14:editId="719941F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5B3D9" w14:textId="77777777" w:rsidR="003C51F6" w:rsidRDefault="00000000">
                          <w:pPr>
                            <w:pStyle w:val="a7"/>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3C51F6">
                              <w:t>27</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33ACB6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85B3D9" w14:textId="77777777" w:rsidR="003C51F6" w:rsidRDefault="00000000">
                    <w:pPr>
                      <w:pStyle w:val="a7"/>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3C51F6">
                        <w:t>27</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CB95" w14:textId="77777777" w:rsidR="00413DF3" w:rsidRDefault="00413DF3">
      <w:r>
        <w:separator/>
      </w:r>
    </w:p>
  </w:footnote>
  <w:footnote w:type="continuationSeparator" w:id="0">
    <w:p w14:paraId="1E8C6E41" w14:textId="77777777" w:rsidR="00413DF3" w:rsidRDefault="00413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TrueTypeFonts/>
  <w:saveSubsetFonts/>
  <w:bordersDoNotSurroundHeader/>
  <w:bordersDoNotSurroundFooter/>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M3YTdiOTVkNDk0NzBiNTYyY2ExOTRiZTc5OWM2OWIifQ=="/>
  </w:docVars>
  <w:rsids>
    <w:rsidRoot w:val="00686937"/>
    <w:rsid w:val="000204BA"/>
    <w:rsid w:val="000B147A"/>
    <w:rsid w:val="00154D35"/>
    <w:rsid w:val="001E34DB"/>
    <w:rsid w:val="002E4F2D"/>
    <w:rsid w:val="003C51F6"/>
    <w:rsid w:val="00413DF3"/>
    <w:rsid w:val="00425A1B"/>
    <w:rsid w:val="004612F9"/>
    <w:rsid w:val="00470464"/>
    <w:rsid w:val="004C6776"/>
    <w:rsid w:val="00565A11"/>
    <w:rsid w:val="0057709E"/>
    <w:rsid w:val="00616F43"/>
    <w:rsid w:val="00657BC0"/>
    <w:rsid w:val="00663178"/>
    <w:rsid w:val="0067453A"/>
    <w:rsid w:val="006839C6"/>
    <w:rsid w:val="00686937"/>
    <w:rsid w:val="00794918"/>
    <w:rsid w:val="007B054C"/>
    <w:rsid w:val="00835465"/>
    <w:rsid w:val="008440DD"/>
    <w:rsid w:val="00912098"/>
    <w:rsid w:val="009F66BF"/>
    <w:rsid w:val="00A02302"/>
    <w:rsid w:val="00B044C6"/>
    <w:rsid w:val="00B14C6E"/>
    <w:rsid w:val="00B42F84"/>
    <w:rsid w:val="00B53457"/>
    <w:rsid w:val="00BB5B0F"/>
    <w:rsid w:val="00BE3E24"/>
    <w:rsid w:val="00BF2A9F"/>
    <w:rsid w:val="00C2622F"/>
    <w:rsid w:val="00C60DB7"/>
    <w:rsid w:val="00D45924"/>
    <w:rsid w:val="00D86BCF"/>
    <w:rsid w:val="00F54536"/>
    <w:rsid w:val="00F6128B"/>
    <w:rsid w:val="00FA6DAC"/>
    <w:rsid w:val="00FB34C3"/>
    <w:rsid w:val="00FD5C06"/>
    <w:rsid w:val="015055B8"/>
    <w:rsid w:val="03BE1E8F"/>
    <w:rsid w:val="04B725CC"/>
    <w:rsid w:val="071E2D3E"/>
    <w:rsid w:val="088A4403"/>
    <w:rsid w:val="09395E38"/>
    <w:rsid w:val="0A1A1458"/>
    <w:rsid w:val="0A717B8A"/>
    <w:rsid w:val="10F263DA"/>
    <w:rsid w:val="12CB3EE4"/>
    <w:rsid w:val="134B1C7D"/>
    <w:rsid w:val="14E10165"/>
    <w:rsid w:val="15C076B6"/>
    <w:rsid w:val="164E051E"/>
    <w:rsid w:val="185112B8"/>
    <w:rsid w:val="19632462"/>
    <w:rsid w:val="1A5E47B5"/>
    <w:rsid w:val="1F3D038C"/>
    <w:rsid w:val="1FB96916"/>
    <w:rsid w:val="20E80BFD"/>
    <w:rsid w:val="21551B2B"/>
    <w:rsid w:val="21F94FCB"/>
    <w:rsid w:val="23D41EDB"/>
    <w:rsid w:val="256443F4"/>
    <w:rsid w:val="27346BCB"/>
    <w:rsid w:val="293146FB"/>
    <w:rsid w:val="2A0B4129"/>
    <w:rsid w:val="2AB06457"/>
    <w:rsid w:val="2B7B1C5D"/>
    <w:rsid w:val="2C071389"/>
    <w:rsid w:val="2D5900AD"/>
    <w:rsid w:val="2EB66328"/>
    <w:rsid w:val="316314B6"/>
    <w:rsid w:val="336B44CD"/>
    <w:rsid w:val="36F2306C"/>
    <w:rsid w:val="37FB74EF"/>
    <w:rsid w:val="3801798E"/>
    <w:rsid w:val="38B8629F"/>
    <w:rsid w:val="38D806EF"/>
    <w:rsid w:val="394418E0"/>
    <w:rsid w:val="3B7107FC"/>
    <w:rsid w:val="3BA41248"/>
    <w:rsid w:val="3C4360B6"/>
    <w:rsid w:val="3E1476A3"/>
    <w:rsid w:val="3F65203A"/>
    <w:rsid w:val="418603E0"/>
    <w:rsid w:val="438A2204"/>
    <w:rsid w:val="45753905"/>
    <w:rsid w:val="480A2ECC"/>
    <w:rsid w:val="48407663"/>
    <w:rsid w:val="48C756FA"/>
    <w:rsid w:val="491F1F95"/>
    <w:rsid w:val="49383A30"/>
    <w:rsid w:val="4968786D"/>
    <w:rsid w:val="49B80255"/>
    <w:rsid w:val="4A5620FE"/>
    <w:rsid w:val="4B860781"/>
    <w:rsid w:val="4DD0778F"/>
    <w:rsid w:val="4E0168AA"/>
    <w:rsid w:val="4F1C5E69"/>
    <w:rsid w:val="4FE94417"/>
    <w:rsid w:val="507B7E86"/>
    <w:rsid w:val="516A11E8"/>
    <w:rsid w:val="517A37CC"/>
    <w:rsid w:val="521F6F37"/>
    <w:rsid w:val="52B862F8"/>
    <w:rsid w:val="576657C9"/>
    <w:rsid w:val="584075DD"/>
    <w:rsid w:val="599A6382"/>
    <w:rsid w:val="5B1025CC"/>
    <w:rsid w:val="5BCB77E7"/>
    <w:rsid w:val="5F8328B3"/>
    <w:rsid w:val="62F071CC"/>
    <w:rsid w:val="643B43E5"/>
    <w:rsid w:val="66EA0F89"/>
    <w:rsid w:val="6838764F"/>
    <w:rsid w:val="68AF296B"/>
    <w:rsid w:val="699D0A15"/>
    <w:rsid w:val="6FC85C67"/>
    <w:rsid w:val="728A6136"/>
    <w:rsid w:val="7399224D"/>
    <w:rsid w:val="74CA520E"/>
    <w:rsid w:val="75D2443D"/>
    <w:rsid w:val="792B7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EA87AA"/>
  <w15:docId w15:val="{870C4BCC-FED8-4313-BE10-2B6EE8D2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footnote reference" w:semiHidden="1" w:uiPriority="99"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2" w:uiPriority="99"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794918"/>
    <w:pPr>
      <w:widowControl w:val="0"/>
      <w:jc w:val="both"/>
    </w:pPr>
    <w:rPr>
      <w:sz w:val="21"/>
      <w:szCs w:val="22"/>
    </w:rPr>
  </w:style>
  <w:style w:type="paragraph" w:styleId="1">
    <w:name w:val="heading 1"/>
    <w:next w:val="a"/>
    <w:qFormat/>
    <w:pPr>
      <w:spacing w:before="380" w:after="140" w:line="288" w:lineRule="auto"/>
      <w:outlineLvl w:val="0"/>
    </w:pPr>
    <w:rPr>
      <w:rFonts w:ascii="Arial" w:eastAsia="等线" w:hAnsi="Arial" w:cs="Arial"/>
      <w:b/>
      <w:bCs/>
      <w:sz w:val="36"/>
      <w:szCs w:val="36"/>
    </w:rPr>
  </w:style>
  <w:style w:type="paragraph" w:styleId="20">
    <w:name w:val="heading 2"/>
    <w:next w:val="a"/>
    <w:qFormat/>
    <w:pPr>
      <w:spacing w:before="320" w:after="120" w:line="288" w:lineRule="auto"/>
      <w:outlineLvl w:val="1"/>
    </w:pPr>
    <w:rPr>
      <w:rFonts w:ascii="Arial" w:eastAsia="等线" w:hAnsi="Arial" w:cs="Arial"/>
      <w:b/>
      <w:bCs/>
      <w:sz w:val="32"/>
      <w:szCs w:val="32"/>
    </w:rPr>
  </w:style>
  <w:style w:type="paragraph" w:styleId="3">
    <w:name w:val="heading 3"/>
    <w:next w:val="a"/>
    <w:qFormat/>
    <w:pPr>
      <w:spacing w:before="300" w:after="120" w:line="288" w:lineRule="auto"/>
      <w:outlineLvl w:val="2"/>
    </w:pPr>
    <w:rPr>
      <w:rFonts w:ascii="Arial" w:eastAsia="等线" w:hAnsi="Arial" w:cs="Arial"/>
      <w:b/>
      <w:bCs/>
      <w:sz w:val="30"/>
      <w:szCs w:val="30"/>
    </w:rPr>
  </w:style>
  <w:style w:type="paragraph" w:styleId="4">
    <w:name w:val="heading 4"/>
    <w:next w:val="a"/>
    <w:qFormat/>
    <w:pPr>
      <w:spacing w:before="260" w:after="120" w:line="288" w:lineRule="auto"/>
      <w:outlineLvl w:val="3"/>
    </w:pPr>
    <w:rPr>
      <w:rFonts w:ascii="Arial" w:eastAsia="等线" w:hAnsi="Arial" w:cs="Arial"/>
      <w:b/>
      <w:bCs/>
      <w:sz w:val="28"/>
      <w:szCs w:val="28"/>
    </w:rPr>
  </w:style>
  <w:style w:type="paragraph" w:styleId="5">
    <w:name w:val="heading 5"/>
    <w:next w:val="a"/>
    <w:qFormat/>
    <w:pPr>
      <w:spacing w:before="240" w:after="120" w:line="288" w:lineRule="auto"/>
      <w:outlineLvl w:val="4"/>
    </w:pPr>
    <w:rPr>
      <w:rFonts w:ascii="Arial" w:eastAsia="等线" w:hAnsi="Arial" w:cs="Arial"/>
      <w:b/>
      <w:bCs/>
      <w:sz w:val="24"/>
      <w:szCs w:val="24"/>
    </w:rPr>
  </w:style>
  <w:style w:type="paragraph" w:styleId="6">
    <w:name w:val="heading 6"/>
    <w:next w:val="a"/>
    <w:qFormat/>
    <w:pPr>
      <w:spacing w:before="240" w:after="120" w:line="288" w:lineRule="auto"/>
      <w:outlineLvl w:val="5"/>
    </w:pPr>
    <w:rPr>
      <w:rFonts w:ascii="Arial" w:eastAsia="等线"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iPriority w:val="99"/>
    <w:qFormat/>
    <w:pPr>
      <w:ind w:firstLineChars="200" w:firstLine="420"/>
    </w:pPr>
  </w:style>
  <w:style w:type="paragraph" w:styleId="a3">
    <w:name w:val="Body Text Indent"/>
    <w:basedOn w:val="a"/>
    <w:qFormat/>
    <w:pPr>
      <w:ind w:firstLine="630"/>
    </w:pPr>
    <w:rPr>
      <w:rFonts w:eastAsia="仿宋_GB2312"/>
      <w:sz w:val="32"/>
      <w:szCs w:val="20"/>
    </w:rPr>
  </w:style>
  <w:style w:type="paragraph" w:styleId="a4">
    <w:name w:val="annotation text"/>
    <w:basedOn w:val="a"/>
    <w:qFormat/>
    <w:pPr>
      <w:jc w:val="left"/>
    </w:pPr>
  </w:style>
  <w:style w:type="paragraph" w:styleId="a5">
    <w:name w:val="Body Text"/>
    <w:basedOn w:val="a"/>
    <w:next w:val="21"/>
    <w:uiPriority w:val="1"/>
    <w:qFormat/>
    <w:pPr>
      <w:spacing w:after="120"/>
    </w:pPr>
  </w:style>
  <w:style w:type="paragraph" w:styleId="21">
    <w:name w:val="Body Text Indent 2"/>
    <w:basedOn w:val="a"/>
    <w:next w:val="a6"/>
    <w:qFormat/>
    <w:pPr>
      <w:spacing w:line="400" w:lineRule="exact"/>
      <w:ind w:firstLine="480"/>
    </w:pPr>
  </w:style>
  <w:style w:type="paragraph" w:styleId="a6">
    <w:name w:val="header"/>
    <w:basedOn w:val="a"/>
    <w:uiPriority w:val="99"/>
    <w:unhideWhenUsed/>
    <w:qFormat/>
    <w:pPr>
      <w:tabs>
        <w:tab w:val="center" w:pos="4153"/>
        <w:tab w:val="right" w:pos="8306"/>
      </w:tabs>
      <w:snapToGrid w:val="0"/>
      <w:jc w:val="center"/>
    </w:pPr>
    <w:rPr>
      <w:sz w:val="18"/>
      <w:szCs w:val="18"/>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footnote text"/>
    <w:link w:val="a9"/>
    <w:uiPriority w:val="99"/>
    <w:semiHidden/>
    <w:unhideWhenUsed/>
    <w:qFormat/>
  </w:style>
  <w:style w:type="paragraph" w:styleId="aa">
    <w:name w:val="Title"/>
    <w:qFormat/>
    <w:pPr>
      <w:spacing w:before="480" w:after="480" w:line="288" w:lineRule="auto"/>
    </w:pPr>
    <w:rPr>
      <w:rFonts w:ascii="Arial" w:eastAsia="等线" w:hAnsi="Arial" w:cs="Arial"/>
      <w:b/>
      <w:bCs/>
      <w:sz w:val="52"/>
      <w:szCs w:val="52"/>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qFormat/>
    <w:rPr>
      <w:color w:val="0563C1"/>
      <w:u w:val="single"/>
    </w:rPr>
  </w:style>
  <w:style w:type="character" w:styleId="ad">
    <w:name w:val="footnote reference"/>
    <w:uiPriority w:val="99"/>
    <w:semiHidden/>
    <w:unhideWhenUsed/>
    <w:qFormat/>
    <w:rPr>
      <w:vertAlign w:val="superscript"/>
    </w:rPr>
  </w:style>
  <w:style w:type="paragraph" w:styleId="ae">
    <w:name w:val="List Paragraph"/>
    <w:qFormat/>
    <w:rPr>
      <w:sz w:val="21"/>
      <w:szCs w:val="22"/>
    </w:rPr>
  </w:style>
  <w:style w:type="character" w:customStyle="1" w:styleId="a9">
    <w:name w:val="脚注文本 字符"/>
    <w:link w:val="a8"/>
    <w:uiPriority w:val="99"/>
    <w:semiHidden/>
    <w:unhideWhenUsed/>
    <w:qFormat/>
    <w:rPr>
      <w:sz w:val="20"/>
      <w:szCs w:val="20"/>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Style14">
    <w:name w:val="_Style 14"/>
    <w:qFormat/>
    <w:pPr>
      <w:spacing w:before="120" w:after="120" w:line="288" w:lineRule="auto"/>
    </w:pPr>
    <w:rPr>
      <w:rFonts w:ascii="Arial" w:eastAsia="等线" w:hAnsi="Arial" w:cs="Arial"/>
      <w:color w:val="8F959E"/>
      <w:sz w:val="22"/>
      <w:szCs w:val="22"/>
    </w:rPr>
  </w:style>
  <w:style w:type="character" w:styleId="af">
    <w:name w:val="annotation reference"/>
    <w:basedOn w:val="a0"/>
    <w:rPr>
      <w:sz w:val="21"/>
      <w:szCs w:val="21"/>
    </w:rPr>
  </w:style>
  <w:style w:type="paragraph" w:styleId="af0">
    <w:name w:val="Revision"/>
    <w:hidden/>
    <w:uiPriority w:val="99"/>
    <w:unhideWhenUsed/>
    <w:rsid w:val="00565A11"/>
    <w:rPr>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A2F3F6F-9375-47B7-B245-66C2DCAC9D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29</Pages>
  <Words>2253</Words>
  <Characters>12847</Characters>
  <Application>Microsoft Office Word</Application>
  <DocSecurity>0</DocSecurity>
  <Lines>107</Lines>
  <Paragraphs>30</Paragraphs>
  <ScaleCrop>false</ScaleCrop>
  <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DataIntelligence giit</cp:lastModifiedBy>
  <cp:revision>54</cp:revision>
  <dcterms:created xsi:type="dcterms:W3CDTF">2025-07-27T18:42:00Z</dcterms:created>
  <dcterms:modified xsi:type="dcterms:W3CDTF">2025-09-20T09:25:00Z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eyJoZGlkIjoiMmUzMzEyYTI0MjYxYWJjOGJiNDM0YjA5NDEyZWYzOGQiLCJ1c2VySWQiOiI1MDc5NTMzMTIifQ==</vt:lpwstr>
  </property>
  <property fmtid="{D5CDD505-2E9C-101B-9397-08002B2CF9AE}" pid="3" name="KSOProductBuildVer">
    <vt:lpwstr>2052-12.1.0.21915</vt:lpwstr>
  </property>
  <property fmtid="{D5CDD505-2E9C-101B-9397-08002B2CF9AE}" pid="4" name="ICV">
    <vt:lpwstr>28D4758EFF9D4471AF847CA2B8F85CCF_13</vt:lpwstr>
  </property>
</Properties>
</file>